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7C2E5" w14:textId="0EB35EF7" w:rsidR="00493E83" w:rsidRDefault="00C751FD" w:rsidP="00312EA8">
      <w:pPr>
        <w:spacing w:after="0" w:line="240" w:lineRule="auto"/>
        <w:jc w:val="center"/>
        <w:rPr>
          <w:rFonts w:ascii="Times New Roman" w:eastAsia="Times New Roman" w:hAnsi="Times New Roman" w:cs="Times New Roman"/>
          <w:b/>
          <w:color w:val="002060"/>
          <w:sz w:val="28"/>
          <w:szCs w:val="28"/>
        </w:rPr>
      </w:pPr>
      <w:r w:rsidRPr="00C751FD">
        <w:rPr>
          <w:rFonts w:ascii="Times New Roman" w:eastAsia="Times New Roman" w:hAnsi="Times New Roman" w:cs="Times New Roman"/>
          <w:b/>
          <w:color w:val="002060"/>
          <w:sz w:val="28"/>
          <w:szCs w:val="28"/>
        </w:rPr>
        <w:t>Public Policy Discourse Debate: Discourse Network Analysis</w:t>
      </w:r>
      <w:r w:rsidR="00312EA8">
        <w:rPr>
          <w:rFonts w:ascii="Times New Roman" w:eastAsia="Times New Roman" w:hAnsi="Times New Roman" w:cs="Times New Roman"/>
          <w:b/>
          <w:color w:val="002060"/>
          <w:sz w:val="28"/>
          <w:szCs w:val="28"/>
        </w:rPr>
        <w:t xml:space="preserve"> </w:t>
      </w:r>
      <w:r w:rsidRPr="00C751FD">
        <w:rPr>
          <w:rFonts w:ascii="Times New Roman" w:eastAsia="Times New Roman" w:hAnsi="Times New Roman" w:cs="Times New Roman"/>
          <w:b/>
          <w:color w:val="002060"/>
          <w:sz w:val="28"/>
          <w:szCs w:val="28"/>
        </w:rPr>
        <w:t>The "One Person, One Social Media Account" Issue in Indonesian Online Media</w:t>
      </w:r>
    </w:p>
    <w:p w14:paraId="07EECCA9" w14:textId="77777777" w:rsidR="00C751FD" w:rsidRDefault="00C751FD" w:rsidP="00312EA8">
      <w:pPr>
        <w:spacing w:after="0" w:line="240" w:lineRule="auto"/>
        <w:rPr>
          <w:rFonts w:ascii="Times New Roman" w:eastAsia="Times New Roman" w:hAnsi="Times New Roman" w:cs="Times New Roman"/>
          <w:b/>
          <w:color w:val="002060"/>
          <w:sz w:val="28"/>
          <w:szCs w:val="28"/>
        </w:rPr>
      </w:pPr>
    </w:p>
    <w:p w14:paraId="553165E3" w14:textId="669D17DA" w:rsidR="00312EA8" w:rsidRPr="00312EA8" w:rsidRDefault="00312EA8" w:rsidP="00312EA8">
      <w:pPr>
        <w:spacing w:after="0" w:line="240" w:lineRule="auto"/>
        <w:jc w:val="center"/>
        <w:rPr>
          <w:rFonts w:ascii="Times New Roman" w:eastAsia="Georgia" w:hAnsi="Times New Roman" w:cs="Times New Roman"/>
          <w:b/>
          <w:bCs/>
          <w:sz w:val="24"/>
          <w:szCs w:val="24"/>
        </w:rPr>
      </w:pPr>
      <w:r w:rsidRPr="00312EA8">
        <w:rPr>
          <w:rFonts w:ascii="Times New Roman" w:eastAsia="Georgia" w:hAnsi="Times New Roman" w:cs="Times New Roman"/>
          <w:b/>
          <w:bCs/>
          <w:sz w:val="24"/>
          <w:szCs w:val="24"/>
        </w:rPr>
        <w:t xml:space="preserve">Maria Theresia </w:t>
      </w:r>
      <w:proofErr w:type="spellStart"/>
      <w:r w:rsidRPr="00312EA8">
        <w:rPr>
          <w:rFonts w:ascii="Times New Roman" w:eastAsia="Georgia" w:hAnsi="Times New Roman" w:cs="Times New Roman"/>
          <w:b/>
          <w:bCs/>
          <w:sz w:val="24"/>
          <w:szCs w:val="24"/>
        </w:rPr>
        <w:t>Efika</w:t>
      </w:r>
      <w:proofErr w:type="spellEnd"/>
      <w:r w:rsidRPr="00312EA8">
        <w:rPr>
          <w:rFonts w:ascii="Times New Roman" w:eastAsia="Georgia" w:hAnsi="Times New Roman" w:cs="Times New Roman"/>
          <w:b/>
          <w:bCs/>
          <w:sz w:val="24"/>
          <w:szCs w:val="24"/>
        </w:rPr>
        <w:t xml:space="preserve"> Rosemarie</w:t>
      </w:r>
    </w:p>
    <w:p w14:paraId="27CE051A" w14:textId="33A8F5D7" w:rsidR="00312EA8" w:rsidRPr="00312EA8" w:rsidRDefault="00312EA8" w:rsidP="00312EA8">
      <w:pPr>
        <w:spacing w:after="0" w:line="240" w:lineRule="auto"/>
        <w:jc w:val="center"/>
        <w:rPr>
          <w:rFonts w:ascii="Times New Roman" w:eastAsia="Georgia" w:hAnsi="Times New Roman" w:cs="Times New Roman"/>
          <w:sz w:val="24"/>
          <w:szCs w:val="24"/>
        </w:rPr>
      </w:pPr>
      <w:r w:rsidRPr="00312EA8">
        <w:rPr>
          <w:rFonts w:ascii="Times New Roman" w:eastAsia="Georgia" w:hAnsi="Times New Roman" w:cs="Times New Roman"/>
          <w:sz w:val="24"/>
          <w:szCs w:val="24"/>
        </w:rPr>
        <w:t>Universitas Indonesia, Jakarta, Indonesia</w:t>
      </w:r>
    </w:p>
    <w:p w14:paraId="789BA51C" w14:textId="631E9885" w:rsidR="00C751FD" w:rsidRPr="00312EA8" w:rsidRDefault="00312EA8" w:rsidP="00312EA8">
      <w:pPr>
        <w:spacing w:after="0" w:line="240" w:lineRule="auto"/>
        <w:jc w:val="center"/>
        <w:rPr>
          <w:rFonts w:ascii="Times New Roman" w:eastAsia="Georgia" w:hAnsi="Times New Roman" w:cs="Times New Roman"/>
          <w:sz w:val="24"/>
          <w:szCs w:val="24"/>
        </w:rPr>
      </w:pPr>
      <w:r w:rsidRPr="00312EA8">
        <w:rPr>
          <w:rFonts w:ascii="Times New Roman" w:eastAsia="Georgia" w:hAnsi="Times New Roman" w:cs="Times New Roman"/>
          <w:sz w:val="24"/>
          <w:szCs w:val="24"/>
        </w:rPr>
        <w:t>Email: efika.rosemarie@gmail.com</w:t>
      </w:r>
    </w:p>
    <w:p w14:paraId="1B940704" w14:textId="69E473E5" w:rsidR="00270732" w:rsidRPr="00F04162" w:rsidRDefault="00270732">
      <w:pPr>
        <w:spacing w:after="0" w:line="240" w:lineRule="auto"/>
        <w:rPr>
          <w:rFonts w:ascii="Times New Roman" w:eastAsia="Times New Roman" w:hAnsi="Times New Roman" w:cs="Times New Roman"/>
          <w:sz w:val="20"/>
          <w:szCs w:val="20"/>
        </w:rPr>
      </w:pPr>
    </w:p>
    <w:tbl>
      <w:tblPr>
        <w:tblStyle w:val="a"/>
        <w:tblW w:w="9026" w:type="dxa"/>
        <w:tblBorders>
          <w:top w:val="single" w:sz="4" w:space="0" w:color="000000"/>
          <w:bottom w:val="single" w:sz="4" w:space="0" w:color="7F7F7F"/>
          <w:insideH w:val="single" w:sz="4" w:space="0" w:color="000000"/>
        </w:tblBorders>
        <w:tblLayout w:type="fixed"/>
        <w:tblLook w:val="04A0" w:firstRow="1" w:lastRow="0" w:firstColumn="1" w:lastColumn="0" w:noHBand="0" w:noVBand="1"/>
      </w:tblPr>
      <w:tblGrid>
        <w:gridCol w:w="1419"/>
        <w:gridCol w:w="7607"/>
      </w:tblGrid>
      <w:tr w:rsidR="00A1176A" w:rsidRPr="00E8748C" w14:paraId="02569082" w14:textId="77777777" w:rsidTr="00A117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bottom w:val="nil"/>
            </w:tcBorders>
          </w:tcPr>
          <w:p w14:paraId="7A1492F4" w14:textId="77777777" w:rsidR="00A1176A" w:rsidRPr="00E8748C" w:rsidRDefault="005C6DD9">
            <w:pPr>
              <w:jc w:val="center"/>
              <w:rPr>
                <w:rFonts w:ascii="Times New Roman" w:eastAsia="Times New Roman" w:hAnsi="Times New Roman" w:cs="Times New Roman"/>
                <w:sz w:val="20"/>
                <w:szCs w:val="20"/>
              </w:rPr>
            </w:pPr>
            <w:r w:rsidRPr="00E8748C">
              <w:rPr>
                <w:rFonts w:ascii="Times New Roman" w:eastAsia="Times New Roman" w:hAnsi="Times New Roman" w:cs="Times New Roman"/>
                <w:color w:val="002060"/>
                <w:sz w:val="20"/>
                <w:szCs w:val="20"/>
              </w:rPr>
              <w:t>ABSTRACT</w:t>
            </w:r>
          </w:p>
        </w:tc>
      </w:tr>
      <w:tr w:rsidR="00A1176A" w:rsidRPr="00E8748C" w14:paraId="695B636D" w14:textId="77777777" w:rsidTr="00A1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top w:val="nil"/>
              <w:bottom w:val="nil"/>
            </w:tcBorders>
          </w:tcPr>
          <w:p w14:paraId="4DF27410" w14:textId="216F4398" w:rsidR="00A1176A" w:rsidRPr="00E8748C" w:rsidRDefault="00F52C62" w:rsidP="00F52C62">
            <w:pPr>
              <w:spacing w:after="100"/>
              <w:jc w:val="both"/>
              <w:rPr>
                <w:rFonts w:ascii="Times New Roman" w:eastAsia="Georgia" w:hAnsi="Times New Roman" w:cs="Times New Roman"/>
                <w:b w:val="0"/>
                <w:bCs/>
              </w:rPr>
            </w:pPr>
            <w:r w:rsidRPr="00F52C62">
              <w:rPr>
                <w:rFonts w:ascii="Times New Roman" w:eastAsia="Georgia" w:hAnsi="Times New Roman" w:cs="Times New Roman"/>
                <w:b w:val="0"/>
                <w:bCs/>
              </w:rPr>
              <w:t>The proliferation of fake and anonymous accounts on social media has prompted the Indonesian government to propose a controversial “One Person, One Social Media Account” policy. This study aims to map the actors, concepts, and discourse coalitions that emerge in the public debate surrounding this policy proposal. Utilizing Discourse Network Analysis (DNA), this research analyzes 81 online news articles published between July and September 2025. The analysis identifies key actors, their stated concepts, and the network structures formed through their agreement or disagreement on the issue.</w:t>
            </w:r>
            <w:r>
              <w:rPr>
                <w:rFonts w:ascii="Times New Roman" w:eastAsia="Georgia" w:hAnsi="Times New Roman" w:cs="Times New Roman"/>
                <w:b w:val="0"/>
                <w:bCs/>
              </w:rPr>
              <w:t xml:space="preserve"> </w:t>
            </w:r>
            <w:r w:rsidRPr="00F52C62">
              <w:rPr>
                <w:rFonts w:ascii="Times New Roman" w:eastAsia="Georgia" w:hAnsi="Times New Roman" w:cs="Times New Roman"/>
                <w:b w:val="0"/>
                <w:bCs/>
              </w:rPr>
              <w:t>The results reveal a highly structured and dominant pro-policy coalition, primarily comprising members of the House of Representatives (DPR) and the Ministry of Communication and Digital (</w:t>
            </w:r>
            <w:proofErr w:type="spellStart"/>
            <w:r w:rsidRPr="00F52C62">
              <w:rPr>
                <w:rFonts w:ascii="Times New Roman" w:eastAsia="Georgia" w:hAnsi="Times New Roman" w:cs="Times New Roman"/>
                <w:b w:val="0"/>
                <w:bCs/>
              </w:rPr>
              <w:t>Komdigi</w:t>
            </w:r>
            <w:proofErr w:type="spellEnd"/>
            <w:r w:rsidRPr="00F52C62">
              <w:rPr>
                <w:rFonts w:ascii="Times New Roman" w:eastAsia="Georgia" w:hAnsi="Times New Roman" w:cs="Times New Roman"/>
                <w:b w:val="0"/>
                <w:bCs/>
              </w:rPr>
              <w:t>). These actors exhibit the highest network centrality and articulate a cohesive narrative centered on concepts such as “account restrictions prevent anonymous/fake accounts” and “prevent hoaxes.” In contrast, the counter-policy discourse—featuring concepts such as “prioritize digital literacy” and primarily voiced by academics and activists—is notably weaker, fragmented, and peripheral within the network.</w:t>
            </w:r>
            <w:r>
              <w:rPr>
                <w:rFonts w:ascii="Times New Roman" w:eastAsia="Georgia" w:hAnsi="Times New Roman" w:cs="Times New Roman"/>
                <w:b w:val="0"/>
                <w:bCs/>
              </w:rPr>
              <w:t xml:space="preserve"> </w:t>
            </w:r>
            <w:r w:rsidRPr="00F52C62">
              <w:rPr>
                <w:rFonts w:ascii="Times New Roman" w:eastAsia="Georgia" w:hAnsi="Times New Roman" w:cs="Times New Roman"/>
                <w:b w:val="0"/>
                <w:bCs/>
              </w:rPr>
              <w:t>The study concludes that the institutional power of pro-policy actors, combined with their compelling security-focused narrative, has produced a dominant discourse coalition. These findings provide both methodological and empirical contributions to understanding the dynamics of public policy discourse formation in Indonesia’s digital era</w:t>
            </w:r>
            <w:r w:rsidR="00E8748C" w:rsidRPr="00E8748C">
              <w:rPr>
                <w:rFonts w:ascii="Times New Roman" w:eastAsia="Georgia" w:hAnsi="Times New Roman" w:cs="Times New Roman"/>
                <w:b w:val="0"/>
                <w:bCs/>
              </w:rPr>
              <w:t>.</w:t>
            </w:r>
          </w:p>
        </w:tc>
      </w:tr>
      <w:tr w:rsidR="00A1176A" w:rsidRPr="00E8748C" w14:paraId="3A0D630D" w14:textId="77777777" w:rsidTr="00A1176A">
        <w:trPr>
          <w:trHeight w:val="195"/>
        </w:trPr>
        <w:tc>
          <w:tcPr>
            <w:cnfStyle w:val="001000000000" w:firstRow="0" w:lastRow="0" w:firstColumn="1" w:lastColumn="0" w:oddVBand="0" w:evenVBand="0" w:oddHBand="0" w:evenHBand="0" w:firstRowFirstColumn="0" w:firstRowLastColumn="0" w:lastRowFirstColumn="0" w:lastRowLastColumn="0"/>
            <w:tcW w:w="1419" w:type="dxa"/>
            <w:vMerge w:val="restart"/>
          </w:tcPr>
          <w:p w14:paraId="720246BA" w14:textId="77777777" w:rsidR="00A1176A" w:rsidRPr="00E8748C" w:rsidRDefault="005C6DD9">
            <w:pPr>
              <w:rPr>
                <w:rFonts w:ascii="Times New Roman" w:eastAsia="Times New Roman" w:hAnsi="Times New Roman" w:cs="Times New Roman"/>
                <w:sz w:val="20"/>
                <w:szCs w:val="20"/>
              </w:rPr>
            </w:pPr>
            <w:r w:rsidRPr="00E8748C">
              <w:rPr>
                <w:rFonts w:ascii="Times New Roman" w:eastAsia="Times New Roman" w:hAnsi="Times New Roman" w:cs="Times New Roman"/>
                <w:color w:val="002060"/>
                <w:sz w:val="20"/>
                <w:szCs w:val="20"/>
              </w:rPr>
              <w:t>KEYWORDS</w:t>
            </w:r>
          </w:p>
          <w:p w14:paraId="5C60509E" w14:textId="77777777" w:rsidR="00A1176A" w:rsidRPr="00E8748C" w:rsidRDefault="005C6DD9">
            <w:pPr>
              <w:rPr>
                <w:rFonts w:ascii="Times New Roman" w:eastAsia="Times New Roman" w:hAnsi="Times New Roman" w:cs="Times New Roman"/>
                <w:sz w:val="20"/>
                <w:szCs w:val="20"/>
              </w:rPr>
            </w:pPr>
            <w:r w:rsidRPr="00E8748C">
              <w:rPr>
                <w:noProof/>
              </w:rPr>
              <w:drawing>
                <wp:anchor distT="0" distB="0" distL="114300" distR="114300" simplePos="0" relativeHeight="251658240" behindDoc="0" locked="0" layoutInCell="1" hidden="0" allowOverlap="1" wp14:anchorId="1F706BBE" wp14:editId="36E223DA">
                  <wp:simplePos x="0" y="0"/>
                  <wp:positionH relativeFrom="column">
                    <wp:posOffset>47098</wp:posOffset>
                  </wp:positionH>
                  <wp:positionV relativeFrom="paragraph">
                    <wp:posOffset>13840</wp:posOffset>
                  </wp:positionV>
                  <wp:extent cx="675731" cy="268669"/>
                  <wp:effectExtent l="0" t="0" r="0" b="0"/>
                  <wp:wrapNone/>
                  <wp:docPr id="18561467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675731" cy="268669"/>
                          </a:xfrm>
                          <a:prstGeom prst="rect">
                            <a:avLst/>
                          </a:prstGeom>
                          <a:ln/>
                        </pic:spPr>
                      </pic:pic>
                    </a:graphicData>
                  </a:graphic>
                </wp:anchor>
              </w:drawing>
            </w:r>
          </w:p>
        </w:tc>
        <w:tc>
          <w:tcPr>
            <w:tcW w:w="7607" w:type="dxa"/>
          </w:tcPr>
          <w:p w14:paraId="7601B1C2" w14:textId="5534C710" w:rsidR="00A1176A" w:rsidRPr="00E8748C" w:rsidRDefault="00C751FD" w:rsidP="00C751FD">
            <w:pPr>
              <w:spacing w:after="100"/>
              <w:jc w:val="both"/>
              <w:cnfStyle w:val="000000000000" w:firstRow="0" w:lastRow="0" w:firstColumn="0" w:lastColumn="0" w:oddVBand="0" w:evenVBand="0" w:oddHBand="0" w:evenHBand="0" w:firstRowFirstColumn="0" w:firstRowLastColumn="0" w:lastRowFirstColumn="0" w:lastRowLastColumn="0"/>
              <w:rPr>
                <w:rFonts w:ascii="Times New Roman" w:eastAsia="Georgia" w:hAnsi="Times New Roman" w:cs="Times New Roman"/>
                <w:b/>
                <w:lang w:val="id-ID"/>
              </w:rPr>
            </w:pPr>
            <w:r w:rsidRPr="00E8748C">
              <w:rPr>
                <w:rFonts w:ascii="Times New Roman" w:eastAsia="Georgia" w:hAnsi="Times New Roman" w:cs="Times New Roman"/>
                <w:b/>
              </w:rPr>
              <w:t xml:space="preserve">Keywords: </w:t>
            </w:r>
            <w:r w:rsidRPr="00E8748C">
              <w:rPr>
                <w:rFonts w:ascii="Times New Roman" w:eastAsia="Georgia" w:hAnsi="Times New Roman" w:cs="Times New Roman"/>
              </w:rPr>
              <w:t>digital identity, DNA, public policy, social media, discourse</w:t>
            </w:r>
          </w:p>
        </w:tc>
      </w:tr>
      <w:tr w:rsidR="00A1176A" w:rsidRPr="00E8748C" w14:paraId="5E41F3C0" w14:textId="77777777" w:rsidTr="00A117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vMerge/>
          </w:tcPr>
          <w:p w14:paraId="2E9DC211" w14:textId="77777777" w:rsidR="00A1176A" w:rsidRPr="00E8748C" w:rsidRDefault="00A1176A">
            <w:pPr>
              <w:widowControl w:val="0"/>
              <w:pBdr>
                <w:top w:val="nil"/>
                <w:left w:val="nil"/>
                <w:bottom w:val="nil"/>
                <w:right w:val="nil"/>
                <w:between w:val="nil"/>
              </w:pBdr>
              <w:spacing w:line="276" w:lineRule="auto"/>
              <w:rPr>
                <w:rFonts w:ascii="Times New Roman" w:eastAsia="Times New Roman" w:hAnsi="Times New Roman" w:cs="Times New Roman"/>
                <w:color w:val="191919"/>
                <w:sz w:val="20"/>
                <w:szCs w:val="20"/>
              </w:rPr>
            </w:pPr>
          </w:p>
        </w:tc>
        <w:tc>
          <w:tcPr>
            <w:tcW w:w="7607" w:type="dxa"/>
          </w:tcPr>
          <w:p w14:paraId="752ABF91" w14:textId="77777777" w:rsidR="00A1176A" w:rsidRPr="00E8748C" w:rsidRDefault="00A117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0"/>
                <w:szCs w:val="20"/>
              </w:rPr>
            </w:pPr>
          </w:p>
          <w:p w14:paraId="04042321" w14:textId="77777777" w:rsidR="00A1176A" w:rsidRPr="00E8748C" w:rsidRDefault="005C6DD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0"/>
                <w:szCs w:val="20"/>
              </w:rPr>
            </w:pPr>
            <w:r w:rsidRPr="00E8748C">
              <w:rPr>
                <w:rFonts w:ascii="Times New Roman" w:eastAsia="Times New Roman" w:hAnsi="Times New Roman" w:cs="Times New Roman"/>
                <w:b/>
                <w:color w:val="002060"/>
                <w:sz w:val="20"/>
                <w:szCs w:val="20"/>
              </w:rPr>
              <w:t>This work is licensed under a Creative Commons Attribution-</w:t>
            </w:r>
            <w:proofErr w:type="spellStart"/>
            <w:r w:rsidRPr="00E8748C">
              <w:rPr>
                <w:rFonts w:ascii="Times New Roman" w:eastAsia="Times New Roman" w:hAnsi="Times New Roman" w:cs="Times New Roman"/>
                <w:b/>
                <w:color w:val="002060"/>
                <w:sz w:val="20"/>
                <w:szCs w:val="20"/>
              </w:rPr>
              <w:t>ShareAlike</w:t>
            </w:r>
            <w:proofErr w:type="spellEnd"/>
            <w:r w:rsidRPr="00E8748C">
              <w:rPr>
                <w:rFonts w:ascii="Times New Roman" w:eastAsia="Times New Roman" w:hAnsi="Times New Roman" w:cs="Times New Roman"/>
                <w:b/>
                <w:color w:val="002060"/>
                <w:sz w:val="20"/>
                <w:szCs w:val="20"/>
              </w:rPr>
              <w:t xml:space="preserve"> 4.0 International</w:t>
            </w:r>
          </w:p>
          <w:p w14:paraId="2DC4496F" w14:textId="77777777" w:rsidR="00A1176A" w:rsidRPr="00E8748C" w:rsidRDefault="00A117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0"/>
                <w:szCs w:val="20"/>
              </w:rPr>
            </w:pPr>
          </w:p>
        </w:tc>
      </w:tr>
    </w:tbl>
    <w:p w14:paraId="2330F115" w14:textId="77777777" w:rsidR="00A1176A" w:rsidRDefault="00A1176A">
      <w:pPr>
        <w:spacing w:after="0" w:line="276" w:lineRule="auto"/>
        <w:jc w:val="center"/>
        <w:rPr>
          <w:rFonts w:ascii="Times New Roman" w:eastAsia="Times New Roman" w:hAnsi="Times New Roman" w:cs="Times New Roman"/>
          <w:b/>
          <w:color w:val="002060"/>
          <w:sz w:val="24"/>
          <w:szCs w:val="24"/>
        </w:rPr>
      </w:pPr>
    </w:p>
    <w:p w14:paraId="279D6E6C" w14:textId="77777777" w:rsidR="00A1176A" w:rsidRDefault="005C6DD9">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INTRODUCTION</w:t>
      </w:r>
    </w:p>
    <w:p w14:paraId="4B4FFC37" w14:textId="5B459DAF"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The digital era has transformed the way Indonesians interact, communicate, and participate in public spaces</w:t>
      </w:r>
      <w:r w:rsidR="00AD5DFB">
        <w:rPr>
          <w:rFonts w:ascii="Times New Roman" w:eastAsia="Times New Roman" w:hAnsi="Times New Roman" w:cs="Times New Roman"/>
          <w:sz w:val="24"/>
          <w:szCs w:val="24"/>
        </w:rPr>
        <w:t xml:space="preserve"> </w:t>
      </w:r>
      <w:r w:rsidR="00AD5DFB">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{"citationItems":[{"id":"ITEM-1","itemData":{"ISSN":"1877-9166","author":[{"dropping-particle":"","family":"Panjaitan","given":"Tigor Wilfritz Soaduon","non-dropping-particle":"","parse-names":false,"suffix":""},{"dropping-particle":"","family":"Pojani","given":"Dorina","non-dropping-particle":"","parse-names":false,"suffix":""},{"dropping-particle":"","family":"Darchen","given":"Sébastien","non-dropping-particle":"","parse-names":false,"suffix":""}],"container-title":"City, Culture and Society","id":"ITEM-1","issued":{"date-parts":[["2022"]]},"page":"100444","publisher":"Elsevier","title":"The transformation of public space production and consumption in post-reformation Indonesian cities","type":"article-journal","volume":"29"},"uris":["http://www.mendeley.com/documents/?uuid=a8fa24ba-a002-4f8b-80ff-55800ad001be"]},{"id":"ITEM-2","itemData":{"author":[{"dropping-particle":"","family":"Hartanti","given":"Nurhikmah Budi","non-dropping-particle":"","parse-names":false,"suffix":""},{"dropping-particle":"","family":"Prabowo","given":"H","non-dropping-particle":"","parse-names":false,"suffix":""},{"dropping-particle":"","family":"Pradini","given":"Purnama Sahrial","non-dropping-particle":"","parse-names":false,"suffix":""},{"dropping-particle":"","family":"Prawata","given":"Albertus","non-dropping-particle":"","parse-names":false,"suffix":""}],"container-title":"Understanding Global Digital Era Technologies and Transformations in Social, Environment, Peace &amp; Business Development Perspectives in Society","id":"ITEM-2","issued":{"date-parts":[["2024"]]},"page":"171-190","title":"Digital-Driven Public Space Design and Creative Placemaking for Enhancing Urban Resilience and Community Well-Being in Indonesia Understanding Global Digital Era Technologies and Transformations in Social, Environment, Peace &amp; Business Development Perspectives in Society ed MA Tarar and L Walambuka","type":"article-journal"},"uris":["http://www.mendeley.com/documents/?uuid=d3f01837-e19d-4a63-9302-b686dbff466f"]}],"mendeley":{"formattedCitation":"(Hartanti et al., 2024; Panjaitan et al., 2022)","plainTextFormattedCitation":"(Hartanti et al., 2024; Panjaitan et al., 2022)","previouslyFormattedCitation":"(Hartanti et al., 2024; Panjaitan et al., 2022)"},"properties":{"noteIndex":0},"schema":"https://github.com/citation-style-language/schema/raw/master/csl-citation.json"}</w:instrText>
      </w:r>
      <w:r w:rsidR="00AD5DFB">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(Hartanti et al., 2024; Panjaitan et al., 2022)</w:t>
      </w:r>
      <w:r w:rsidR="00AD5DFB">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 Social media is one of the main platforms that enables individuals to express opinions, share information, and engage in political and social discussions</w:t>
      </w:r>
      <w:r w:rsidR="00AD5DFB">
        <w:rPr>
          <w:rFonts w:ascii="Times New Roman" w:eastAsia="Times New Roman" w:hAnsi="Times New Roman" w:cs="Times New Roman"/>
          <w:sz w:val="24"/>
          <w:szCs w:val="24"/>
        </w:rPr>
        <w:t xml:space="preserve"> </w:t>
      </w:r>
      <w:r w:rsidR="00AD5DFB">
        <w:rPr>
          <w:rFonts w:ascii="Times New Roman" w:eastAsia="Times New Roman" w:hAnsi="Times New Roman" w:cs="Times New Roman"/>
          <w:sz w:val="24"/>
          <w:szCs w:val="24"/>
        </w:rPr>
        <w:fldChar w:fldCharType="begin" w:fldLock="1"/>
      </w:r>
      <w:r w:rsidR="00AD5DFB">
        <w:rPr>
          <w:rFonts w:ascii="Times New Roman" w:eastAsia="Times New Roman" w:hAnsi="Times New Roman" w:cs="Times New Roman"/>
          <w:sz w:val="24"/>
          <w:szCs w:val="24"/>
        </w:rPr>
        <w:instrText>ADDIN CSL_CITATION {"citationItems":[{"id":"ITEM-1","itemData":{"ISSN":"0162-895X","author":[{"dropping-particle":"","family":"Jost","given":"John T","non-dropping-particle":"","parse-names":false,"suffix":""},{"dropping-particle":"","family":"Barberá","given":"Pablo","non-dropping-particle":"","parse-names":false,"suffix":""},{"dropping-particle":"","family":"Bonneau","given":"Richard","non-dropping-particle":"","parse-names":false,"suffix":""},{"dropping-particle":"","family":"Langer","given":"Melanie","non-dropping-particle":"","parse-names":false,"suffix":""},{"dropping-particle":"","family":"Metzger","given":"Megan","non-dropping-particle":"","parse-names":false,"suffix":""},{"dropping-particle":"","family":"Nagler","given":"Jonathan","non-dropping-particle":"","parse-names":false,"suffix":""},{"dropping-particle":"","family":"Sterling","given":"Joanna","non-dropping-particle":"","parse-names":false,"suffix":""},{"dropping-particle":"","family":"Tucker","given":"Joshua A","non-dropping-particle":"","parse-names":false,"suffix":""}],"container-title":"Political psychology","id":"ITEM-1","issued":{"date-parts":[["2018"]]},"page":"85-118","publisher":"Wiley Online Library","title":"How social media facilitates political protest: Information, motivation, and social networks","type":"article-journal","volume":"39"},"uris":["http://www.mendeley.com/documents/?uuid=9a005139-ac00-4842-aaa8-5b7b31a68f2d"]}],"mendeley":{"formattedCitation":"(Jost et al., 2018)","plainTextFormattedCitation":"(Jost et al., 2018)","previouslyFormattedCitation":"(Jost et al., 2018)"},"properties":{"noteIndex":0},"schema":"https://github.com/citation-style-language/schema/raw/master/csl-citation.json"}</w:instrText>
      </w:r>
      <w:r w:rsidR="00AD5DFB">
        <w:rPr>
          <w:rFonts w:ascii="Times New Roman" w:eastAsia="Times New Roman" w:hAnsi="Times New Roman" w:cs="Times New Roman"/>
          <w:sz w:val="24"/>
          <w:szCs w:val="24"/>
        </w:rPr>
        <w:fldChar w:fldCharType="separate"/>
      </w:r>
      <w:r w:rsidR="00AD5DFB" w:rsidRPr="00AD5DFB">
        <w:rPr>
          <w:rFonts w:ascii="Times New Roman" w:eastAsia="Times New Roman" w:hAnsi="Times New Roman" w:cs="Times New Roman"/>
          <w:noProof/>
          <w:sz w:val="24"/>
          <w:szCs w:val="24"/>
        </w:rPr>
        <w:t>(Jost et al., 2018)</w:t>
      </w:r>
      <w:r w:rsidR="00AD5DFB">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 The Digital 2025 Global Overview Report by We Are Social and Meltwater reported that there were 143 million active social media user identities in Indonesia as of January 2025. However, alongside this growth, several challenges have arisen concerning the authenticity of digital identities and the increasing prevalence of fake or anonymous accounts that are often misused for various purposes</w:t>
      </w:r>
      <w:r w:rsidR="00AD5DFB">
        <w:rPr>
          <w:rFonts w:ascii="Times New Roman" w:eastAsia="Times New Roman" w:hAnsi="Times New Roman" w:cs="Times New Roman"/>
          <w:sz w:val="24"/>
          <w:szCs w:val="24"/>
        </w:rPr>
        <w:t xml:space="preserve"> </w:t>
      </w:r>
      <w:r w:rsidR="00AD5DFB">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{"citationItems":[{"id":"ITEM-1","itemData":{"author":[{"dropping-particle":"","family":"Ghadge","given":"Nikhil","non-dropping-particle":"","parse-names":false,"suffix":""}],"container-title":"International Journal on Cybernetics &amp; Informatics (IJCI)","id":"ITEM-1","issue":"13","issued":{"date-parts":[["2024"]]},"page":"1","publisher":"AIRCC Publishing Corporation","title":"Challenges with securing digital identity","type":"article-journal","volume":"13"},"uris":["http://www.mendeley.com/documents/?uuid=4743f2c5-4836-4094-8729-61f21f155446"]},{"id":"ITEM-2","itemData":{"ISSN":"0163-4437","author":[{"dropping-particle":"","family":"Lareki","given":"Arkaitz","non-dropping-particle":"","parse-names":false,"suffix":""},{"dropping-particle":"","family":"Altuna","given":"Jon","non-dropping-particle":"","parse-names":false,"suffix":""},{"dropping-particle":"","family":"Martínez-de-Morentin","given":"Juan-Ignacio","non-dropping-particle":"","parse-names":false,"suffix":""}],"container-title":"Media, Culture &amp; Society","id":"ITEM-2","issue":"2","issued":{"date-parts":[["2023"]]},"page":"338-353","publisher":"SAGE Publications Sage UK: London, England","title":"Fake digital identity and cyberbullying","type":"article-journal","volume":"45"},"uris":["http://www.mendeley.com/documents/?uuid=97e70a1c-6253-4e1d-a243-f39e6413b2b7"]}],"mendeley":{"formattedCitation":"(Ghadge, 2024; Lareki et al., 2023)","plainTextFormattedCitation":"(Ghadge, 2024; Lareki et al., 2023)","previouslyFormattedCitation":"(Ghadge, 2024; Lareki et al., 2023)"},"properties":{"noteIndex":0},"schema":"https://github.com/citation-style-language/schema/raw/master/csl-citation.json"}</w:instrText>
      </w:r>
      <w:r w:rsidR="00AD5DFB">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(Ghadge, 2024; Lareki et al., 2023)</w:t>
      </w:r>
      <w:r w:rsidR="00AD5DFB">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w:t>
      </w:r>
    </w:p>
    <w:p w14:paraId="44AB8863" w14:textId="58BEFAE0"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In this context, the government, through the Ministry of Communication and Digital (</w:t>
      </w:r>
      <w:proofErr w:type="spellStart"/>
      <w:r w:rsidRPr="00F52C62">
        <w:rPr>
          <w:rFonts w:ascii="Times New Roman" w:eastAsia="Times New Roman" w:hAnsi="Times New Roman" w:cs="Times New Roman"/>
          <w:sz w:val="24"/>
          <w:szCs w:val="24"/>
        </w:rPr>
        <w:t>Kemkomdigi</w:t>
      </w:r>
      <w:proofErr w:type="spellEnd"/>
      <w:r w:rsidRPr="00F52C62">
        <w:rPr>
          <w:rFonts w:ascii="Times New Roman" w:eastAsia="Times New Roman" w:hAnsi="Times New Roman" w:cs="Times New Roman"/>
          <w:sz w:val="24"/>
          <w:szCs w:val="24"/>
        </w:rPr>
        <w:t xml:space="preserve">), introduced the discourse “One Person, One Social Media Account.” This discourse reportedly emerged in July 2025 in the House of Representatives of the Republic of Indonesia and was subsequently developed and discussed further by the Ministry of Communication and the public in September 2025. However, the proposal sparked significant </w:t>
      </w:r>
      <w:r w:rsidRPr="00F52C62">
        <w:rPr>
          <w:rFonts w:ascii="Times New Roman" w:eastAsia="Times New Roman" w:hAnsi="Times New Roman" w:cs="Times New Roman"/>
          <w:sz w:val="24"/>
          <w:szCs w:val="24"/>
        </w:rPr>
        <w:lastRenderedPageBreak/>
        <w:t>debate, with different parties holding contrasting views regarding its implementation</w:t>
      </w:r>
      <w:r w:rsidR="00C51F3C">
        <w:rPr>
          <w:rFonts w:ascii="Times New Roman" w:eastAsia="Times New Roman" w:hAnsi="Times New Roman" w:cs="Times New Roman"/>
          <w:sz w:val="24"/>
          <w:szCs w:val="24"/>
        </w:rPr>
        <w:t xml:space="preserve"> </w:t>
      </w:r>
      <w:r w:rsidR="00C51F3C">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{"citationItems":[{"id":"ITEM-1","itemData":{"ISSN":"0967-070X","author":[{"dropping-particle":"","family":"Wee","given":"Bert","non-dropping-particle":"van","parse-names":false,"suffix":""},{"dropping-particle":"","family":"Annema","given":"Jan Anne","non-dropping-particle":"","parse-names":false,"suffix":""},{"dropping-particle":"","family":"Barneveld","given":"Sander","non-dropping-particle":"van","parse-names":false,"suffix":""}],"container-title":"Transport policy","id":"ITEM-1","issued":{"date-parts":[["2023"]]},"page":"79-86","publisher":"Elsevier","title":"Controversial policies: growing support after implementation. A discussion paper","type":"article-journal","volume":"139"},"uris":["http://www.mendeley.com/documents/?uuid=7bbe0deb-d6a0-4ac9-9f26-0f7c3224d3f4"]}],"mendeley":{"formattedCitation":"(van Wee et al., 2023)","plainTextFormattedCitation":"(van Wee et al., 2023)","previouslyFormattedCitation":"(van Wee et al., 2023)"},"properties":{"noteIndex":0},"schema":"https://github.com/citation-style-language/schema/raw/master/csl-citation.json"}</w:instrText>
      </w:r>
      <w:r w:rsidR="00C51F3C">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(van Wee et al., 2023)</w:t>
      </w:r>
      <w:r w:rsidR="00C51F3C">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 This debate is particularly noteworthy as it involves multiple actors with diverse interests.</w:t>
      </w:r>
    </w:p>
    <w:p w14:paraId="188EB163" w14:textId="363A370B"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To analyze the “One Person, One Social Media Account” debate, this study employs the Discourse Coalition Framework (DCF) developed by Maarten Hajer (Hajer, 1993, 1997, 2002). In this framework, Hajer argues that the dominance of a discourse does not necessarily stem from its intrinsic superiority, but from the success of actors in framing and constructing messages that gain public acceptance. Each actor holds a distinct discourse on an issue, yet over time these discourses can converge to form a dominant narrative. Hajer refers to this phenomenon as a coalition of discourse (</w:t>
      </w:r>
      <w:proofErr w:type="spellStart"/>
      <w:r w:rsidRPr="00F52C62">
        <w:rPr>
          <w:rFonts w:ascii="Times New Roman" w:eastAsia="Times New Roman" w:hAnsi="Times New Roman" w:cs="Times New Roman"/>
          <w:sz w:val="24"/>
          <w:szCs w:val="24"/>
        </w:rPr>
        <w:t>Eriyanto</w:t>
      </w:r>
      <w:proofErr w:type="spellEnd"/>
      <w:r w:rsidRPr="00F52C62">
        <w:rPr>
          <w:rFonts w:ascii="Times New Roman" w:eastAsia="Times New Roman" w:hAnsi="Times New Roman" w:cs="Times New Roman"/>
          <w:sz w:val="24"/>
          <w:szCs w:val="24"/>
        </w:rPr>
        <w:t>, 2022). In the context of “One Person, One Social Media Account,” actors express differing opinions about whether the discourse is appropriate or feasible in Indonesia—positions that are widely covered by both mainstream and online media.</w:t>
      </w:r>
    </w:p>
    <w:p w14:paraId="3BD3EB95" w14:textId="0038A1FE"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One method used to analyze discourse coalitions and network structures within public policy debates is Discourse Network Analysis (DNA), developed by Philip Leifeld (Leifeld, 2017, 2020). DNA is commonly applied to examine the relationship between discourse and public policy, as government decisions are shaped by multiple actors with differing positions and interests (</w:t>
      </w:r>
      <w:proofErr w:type="spellStart"/>
      <w:r w:rsidRPr="00F52C62">
        <w:rPr>
          <w:rFonts w:ascii="Times New Roman" w:eastAsia="Times New Roman" w:hAnsi="Times New Roman" w:cs="Times New Roman"/>
          <w:sz w:val="24"/>
          <w:szCs w:val="24"/>
        </w:rPr>
        <w:t>Eriyanto</w:t>
      </w:r>
      <w:proofErr w:type="spellEnd"/>
      <w:r w:rsidRPr="00F52C62">
        <w:rPr>
          <w:rFonts w:ascii="Times New Roman" w:eastAsia="Times New Roman" w:hAnsi="Times New Roman" w:cs="Times New Roman"/>
          <w:sz w:val="24"/>
          <w:szCs w:val="24"/>
        </w:rPr>
        <w:t xml:space="preserve"> &amp; Ali, 2020). DNA combines the strength of qualitative discourse interpretation with quantitative network visualization, allowing researchers to identify relational patterns among actors that may not be apparent through textual analysis alone (Leifeld, 2020). This method also helps map emerging discourses, identify their proponents, and reveal how the relationships among these discourses form networks</w:t>
      </w:r>
      <w:r w:rsidR="00C51F3C">
        <w:rPr>
          <w:rFonts w:ascii="Times New Roman" w:eastAsia="Times New Roman" w:hAnsi="Times New Roman" w:cs="Times New Roman"/>
          <w:sz w:val="24"/>
          <w:szCs w:val="24"/>
        </w:rPr>
        <w:t xml:space="preserve"> </w:t>
      </w:r>
      <w:r w:rsidR="00C51F3C">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ISSN":"1743-727X","author":[{"dropping-particle":"","family":"Bruun","given":"Jesper","non-dropping-particle":"","parse-names":false,"suffix":""},{"dropping-particle":"","family":"Lindahl","given":"Mats","non-dropping-particle":"","parse-names":false,"suffix":""},{"dropping-particle":"","family":"Linder","given":"Cedric","non-dropping-particle":"","parse-names":false,"suffix":""}],"container-title":"International journal of research &amp; method in education","id":"ITEM-1","issue":"3","issued":{"date-parts":[["2019"]]},"page":"317-339","publisher":"Taylor &amp; Francis","title":"Network analysis and qualitative discourse analysis of a classroom group discussion","type":"article-journal","volume":"42"},"uris":["http://www.mendeley.com/documents/?uuid=acc0b51e-630f-4166-9140-7dd919552785"]}],"mendeley":{"formattedCitation":"(Bruun et al., 2019)","plainTextFormattedCitation":"(Bruun et al., 2019)","previouslyFormattedCitation":"(Bruun et al., 2019)"},"properties":{"noteIndex":0},"schema":"https://github.com/citation-style-language/schema/raw/master/csl-citation.json"}</w:instrText>
      </w:r>
      <w:r w:rsidR="00C51F3C">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(Bruun et al., 2019)</w:t>
      </w:r>
      <w:r w:rsidR="00C51F3C">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w:t>
      </w:r>
    </w:p>
    <w:p w14:paraId="730E11D0" w14:textId="3AF3EFBD"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Several studies have utilized DNA to examine policy debates across multiple domains, including environmental, political, and health contexts</w:t>
      </w:r>
      <w:r w:rsidR="00C51F3C">
        <w:rPr>
          <w:rFonts w:ascii="Times New Roman" w:eastAsia="Times New Roman" w:hAnsi="Times New Roman" w:cs="Times New Roman"/>
          <w:sz w:val="24"/>
          <w:szCs w:val="24"/>
        </w:rPr>
        <w:t xml:space="preserve"> </w:t>
      </w:r>
      <w:r w:rsidR="00C51F3C">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ISSN":"3005-0677","author":[{"dropping-particle":"","family":"Altermatt","given":"Florian","non-dropping-particle":"","parse-names":false,"suffix":""},{"dropping-particle":"","family":"Couton","given":"Marjorie","non-dropping-particle":"","parse-names":false,"suffix":""},{"dropping-particle":"","family":"Carraro","given":"Luca","non-dropping-particle":"","parse-names":false,"suffix":""},{"dropping-particle":"","family":"Keck","given":"François","non-dropping-particle":"","parse-names":false,"suffix":""},{"dropping-particle":"","family":"Lawson-Handley","given":"Lori","non-dropping-particle":"","parse-names":false,"suffix":""},{"dropping-particle":"","family":"Leese","given":"Florian","non-dropping-particle":"","parse-names":false,"suffix":""},{"dropping-particle":"","family":"Zhang","given":"Xiaowei","non-dropping-particle":"","parse-names":false,"suffix":""},{"dropping-particle":"","family":"Zhang","given":"Yan","non-dropping-particle":"","parse-names":false,"suffix":""},{"dropping-particle":"","family":"Blackman","given":"Rosetta C","non-dropping-particle":"","parse-names":false,"suffix":""}],"container-title":"Nature Reviews Biodiversity","id":"ITEM-1","issue":"5","issued":{"date-parts":[["2025"]]},"page":"332-346","publisher":"Nature Publishing Group UK London","title":"Utilizing aquatic environmental DNA to address global biodiversity targets","type":"article-journal","volume":"1"},"uris":["http://www.mendeley.com/documents/?uuid=164cd7e8-506d-49ca-86c2-b3bf20fad3e0"]}],"mendeley":{"formattedCitation":"(Altermatt et al., 2025)","plainTextFormattedCitation":"(Altermatt et al., 2025)","previouslyFormattedCitation":"(Altermatt et al., 2025)"},"properties":{"noteIndex":0},"schema":"https://github.com/citation-style-language/schema/raw/master/csl-citation.json"}</w:instrText>
      </w:r>
      <w:r w:rsidR="00C51F3C">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(Altermatt et al., 2025)</w:t>
      </w:r>
      <w:r w:rsidR="00C51F3C">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 xml:space="preserve">. Bækgaard et al. (2024) analyzed the European circular economy debate and found that a dominant technocentric consensus centered on innovation and production marginalized more transformative visions. </w:t>
      </w:r>
      <w:proofErr w:type="spellStart"/>
      <w:r w:rsidRPr="00F52C62">
        <w:rPr>
          <w:rFonts w:ascii="Times New Roman" w:eastAsia="Times New Roman" w:hAnsi="Times New Roman" w:cs="Times New Roman"/>
          <w:sz w:val="24"/>
          <w:szCs w:val="24"/>
        </w:rPr>
        <w:t>Swarnakar</w:t>
      </w:r>
      <w:proofErr w:type="spellEnd"/>
      <w:r w:rsidRPr="00F52C62">
        <w:rPr>
          <w:rFonts w:ascii="Times New Roman" w:eastAsia="Times New Roman" w:hAnsi="Times New Roman" w:cs="Times New Roman"/>
          <w:sz w:val="24"/>
          <w:szCs w:val="24"/>
        </w:rPr>
        <w:t xml:space="preserve"> et al. (2022) demonstrated how governments construct strong discourse coalitions around specific principles to safeguard national economic interests. </w:t>
      </w:r>
      <w:proofErr w:type="spellStart"/>
      <w:r w:rsidRPr="00F52C62">
        <w:rPr>
          <w:rFonts w:ascii="Times New Roman" w:eastAsia="Times New Roman" w:hAnsi="Times New Roman" w:cs="Times New Roman"/>
          <w:sz w:val="24"/>
          <w:szCs w:val="24"/>
        </w:rPr>
        <w:t>Gielens</w:t>
      </w:r>
      <w:proofErr w:type="spellEnd"/>
      <w:r w:rsidRPr="00F52C62">
        <w:rPr>
          <w:rFonts w:ascii="Times New Roman" w:eastAsia="Times New Roman" w:hAnsi="Times New Roman" w:cs="Times New Roman"/>
          <w:sz w:val="24"/>
          <w:szCs w:val="24"/>
        </w:rPr>
        <w:t xml:space="preserve"> et al. (2025) examined discussions of Universal Basic Income (UBI) on Dutch Twitter and concluded that while political coalitions remained stable, UBI supporters developed more coherent narratives grounded in social investment frameworks than their opponents.</w:t>
      </w:r>
    </w:p>
    <w:p w14:paraId="707525D8" w14:textId="733146EA"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 xml:space="preserve">In Indonesia, DNA has been applied primarily in health policy analysis, particularly during the COVID-19 pandemic. </w:t>
      </w:r>
      <w:proofErr w:type="spellStart"/>
      <w:r w:rsidRPr="00F52C62">
        <w:rPr>
          <w:rFonts w:ascii="Times New Roman" w:eastAsia="Times New Roman" w:hAnsi="Times New Roman" w:cs="Times New Roman"/>
          <w:sz w:val="24"/>
          <w:szCs w:val="24"/>
        </w:rPr>
        <w:t>Eriyanto</w:t>
      </w:r>
      <w:proofErr w:type="spellEnd"/>
      <w:r w:rsidRPr="00F52C62">
        <w:rPr>
          <w:rFonts w:ascii="Times New Roman" w:eastAsia="Times New Roman" w:hAnsi="Times New Roman" w:cs="Times New Roman"/>
          <w:sz w:val="24"/>
          <w:szCs w:val="24"/>
        </w:rPr>
        <w:t xml:space="preserve"> and Ali (2020) found that government actors—including the central government, local governments, and the Ministry of Health—attempted to bridge conflicting discourses, though these efforts were only partially successful. Similarly, Patria et al. (2025) used DNA to compare discourses on fuel price increases under two different presidential administrations, revealing governmental efforts to steer public narratives. Murti and Nur </w:t>
      </w:r>
      <w:proofErr w:type="spellStart"/>
      <w:r w:rsidRPr="00F52C62">
        <w:rPr>
          <w:rFonts w:ascii="Times New Roman" w:eastAsia="Times New Roman" w:hAnsi="Times New Roman" w:cs="Times New Roman"/>
          <w:sz w:val="24"/>
          <w:szCs w:val="24"/>
        </w:rPr>
        <w:t>Ratriyana</w:t>
      </w:r>
      <w:proofErr w:type="spellEnd"/>
      <w:r w:rsidRPr="00F52C62">
        <w:rPr>
          <w:rFonts w:ascii="Times New Roman" w:eastAsia="Times New Roman" w:hAnsi="Times New Roman" w:cs="Times New Roman"/>
          <w:sz w:val="24"/>
          <w:szCs w:val="24"/>
        </w:rPr>
        <w:t xml:space="preserve"> (2022) applied DNA in the debate over cigarette advertising regulations in Indonesia and found that the coalition advocating for advertising restrictions was stronger and more successful in achieving its objectives. Collectively, these studies demonstrate that DNA is highly relevant for understanding how actors and discourses interact in shaping public opinion within digital spaces—strengthening the argument for its use in analyzing the debate on social media account restriction policies.</w:t>
      </w:r>
    </w:p>
    <w:p w14:paraId="178AE622" w14:textId="3CB0576D"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lastRenderedPageBreak/>
        <w:t>This study specifically maps the discourse networks of pro- and anti-policy actors by tracing their respective arguments. The research contributes both empirically and methodologically to the fields of media discourse, social media regulation, and digital communication</w:t>
      </w:r>
      <w:r w:rsidR="00C51F3C">
        <w:rPr>
          <w:rFonts w:ascii="Times New Roman" w:eastAsia="Times New Roman" w:hAnsi="Times New Roman" w:cs="Times New Roman"/>
          <w:sz w:val="24"/>
          <w:szCs w:val="24"/>
        </w:rPr>
        <w:t xml:space="preserve"> </w:t>
      </w:r>
      <w:r w:rsidR="00C51F3C">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{"citationItems":[{"id":"ITEM-1","itemData":{"author":[{"dropping-particle":"","family":"KhosraviNik","given":"Majid","non-dropping-particle":"","parse-names":false,"suffix":""}],"container-title":"The Routledge handbook of critical discourse studies","id":"ITEM-1","issued":{"date-parts":[["2017"]]},"page":"582-596","publisher":"Routledge","title":"Social media critical discourse studies (SM-CDS)","type":"chapter"},"uris":["http://www.mendeley.com/documents/?uuid=74833423-7c79-42aa-a5a0-28e27c02b8c1"]},{"id":"ITEM-2","itemData":{"ISBN":"1035319764","author":[{"dropping-particle":"","family":"Unger","given":"Johann Wolfgang","non-dropping-particle":"","parse-names":false,"suffix":""}],"container-title":"Handbook on Critical Discourse Studies","id":"ITEM-2","issued":{"date-parts":[["2026"]]},"page":"205-218","publisher":"Edward Elgar Publishing","title":"Critical Discourse Studies and the rise of social media: Methodological debates and challenges","type":"chapter"},"uris":["http://www.mendeley.com/documents/?uuid=7b077f8f-4170-4e92-9002-be79a50e05f0"]}],"mendeley":{"formattedCitation":"(KhosraviNik, 2017; Unger, 2026)","plainTextFormattedCitation":"(KhosraviNik, 2017; Unger, 2026)","previouslyFormattedCitation":"(KhosraviNik, 2017; Unger, 2026)"},"properties":{"noteIndex":0},"schema":"https://github.com/citation-style-language/schema/raw/master/csl-citation.json"}</w:instrText>
      </w:r>
      <w:r w:rsidR="00C51F3C">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(KhosraviNik, 2017; Unger, 2026)</w:t>
      </w:r>
      <w:r w:rsidR="00C51F3C">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 Accordingly, this study seeks to answer the following question: What is the structure of actor, discourse, and coalition networks surrounding the issue of “One Person, One Social Media Account”? Additionally, it aims to identify the key actors and dominant concepts that define this discourse</w:t>
      </w:r>
      <w:r>
        <w:rPr>
          <w:rFonts w:ascii="Times New Roman" w:eastAsia="Times New Roman" w:hAnsi="Times New Roman" w:cs="Times New Roman"/>
          <w:sz w:val="24"/>
          <w:szCs w:val="24"/>
        </w:rPr>
        <w:t>.</w:t>
      </w:r>
    </w:p>
    <w:p w14:paraId="3995E9AD" w14:textId="45D74D0D"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The definition of discourse varies widely among scholars—from linguistic and textual interpretations to conceptual, social, and ideological perspectives. Discourse can be viewed as a collection of social practices and ideological assumptions, both linguistic and non-linguistic, that collectively shape power relations or social issues, such as discourses on authority or racism (De Fina &amp; Georgakopoulou, 2020). Within the Discourse Coalition Framework, discourse is defined as a set of ideas, concepts, and categories that give meaning to social and physical phenomena and are produced and reproduced through identifiable practices (Hajer &amp; Versteeg, 2005). In the case of “One Person, One Social Media Account,” multiple discourses may emerge—such as those surrounding digital security and accountability, freedom of expression and digital democracy, or digital rights. Each of these discourses carries distinct ideas and concepts that are continuously produced, transformed, and contested by various actors according to their interests and social contexts</w:t>
      </w:r>
    </w:p>
    <w:p w14:paraId="72D60211" w14:textId="5F4936D7"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According to Hajer, the relationship between discourse and public policy is fundamentally intertwined. Discourse not only reflects policy but also shapes and structures the political reality in which policy is made and implemented (Hajer, 1993). A discourse defines problems and potential solutions and influences key political questions such as: “Who is responsible?”, “What can be done?”, and “What should be done?” Consequently, discourse determines how social issues are understood and how policy responses are formulated (Hajer, 2002). Hajer emphasizes that the ascendancy of a discourse is often not due to its objective merit but to the actors’ success in constructing and communicating narratives, storylines, and metaphors that gain public resonance (</w:t>
      </w:r>
      <w:proofErr w:type="spellStart"/>
      <w:r w:rsidRPr="00F52C62">
        <w:rPr>
          <w:rFonts w:ascii="Times New Roman" w:eastAsia="Times New Roman" w:hAnsi="Times New Roman" w:cs="Times New Roman"/>
          <w:sz w:val="24"/>
          <w:szCs w:val="24"/>
        </w:rPr>
        <w:t>Eriyanto</w:t>
      </w:r>
      <w:proofErr w:type="spellEnd"/>
      <w:r w:rsidRPr="00F52C62">
        <w:rPr>
          <w:rFonts w:ascii="Times New Roman" w:eastAsia="Times New Roman" w:hAnsi="Times New Roman" w:cs="Times New Roman"/>
          <w:sz w:val="24"/>
          <w:szCs w:val="24"/>
        </w:rPr>
        <w:t>, 2022).</w:t>
      </w:r>
    </w:p>
    <w:p w14:paraId="631C8AAA" w14:textId="6358C34C"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Deliberative Policy Analysis (DPA) is a policy analysis approach developed by Maarten Hajer and Hendrik Wagenaar (2021) in response to dissatisfaction with traditional rationalist approaches such as cost-benefit analysis and predictive modeling. DPA is positioned as a moral-analytical framework that integrates three main pillars: interpretation, practice, and deliberation (Ercan et al., 2020). Policy analysis, under this approach, should be interpretive—focusing on how individuals experience policy processes and outcomes (Wagenaar &amp; Hendricks, 2021). It should also involve structured, non-coercive communication that engages multiple actors to guide policy decision-making. Furthermore, DPA emphasizes action and implementation, focusing not only on what people say but also on what they do (Wagenaar &amp; Hendricks, 2021).</w:t>
      </w:r>
    </w:p>
    <w:p w14:paraId="01D19E94" w14:textId="53DF2C64"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Research shows that no other country has implemented a digital identity policy specifically regulating social media accounts. The European Union’s Digital Services Act (DSA), issued in 2020, addresses digital service regulation within the region but does not directly govern digital identity</w:t>
      </w:r>
      <w:r w:rsidR="00C51F3C">
        <w:rPr>
          <w:rFonts w:ascii="Times New Roman" w:eastAsia="Times New Roman" w:hAnsi="Times New Roman" w:cs="Times New Roman"/>
          <w:sz w:val="24"/>
          <w:szCs w:val="24"/>
        </w:rPr>
        <w:t xml:space="preserve"> </w:t>
      </w:r>
      <w:r w:rsidR="00C51F3C">
        <w:rPr>
          <w:rFonts w:ascii="Times New Roman" w:eastAsia="Times New Roman" w:hAnsi="Times New Roman" w:cs="Times New Roman"/>
          <w:sz w:val="24"/>
          <w:szCs w:val="24"/>
        </w:rPr>
        <w:fldChar w:fldCharType="begin" w:fldLock="1"/>
      </w:r>
      <w:r w:rsidR="00C51F3C">
        <w:rPr>
          <w:rFonts w:ascii="Times New Roman" w:eastAsia="Times New Roman" w:hAnsi="Times New Roman" w:cs="Times New Roman"/>
          <w:sz w:val="24"/>
          <w:szCs w:val="24"/>
        </w:rPr>
        <w:instrText>ADDIN CSL_CITATION {"citationItems":[{"id":"ITEM-1","itemData":{"author":[{"dropping-particle":"","family":"Araujo Meirelles Magalhães","given":"Fernanda","non-dropping-particle":"de","parse-names":false,"suffix":""},{"dropping-particle":"","family":"Calle","given":"Irene Merino","non-dropping-particle":"","parse-names":false,"suffix":""}],"container-title":"International Conference a Digital Europe for Citizens, Data governance, Digital Markets, Digital Services","id":"ITEM-1","issued":{"date-parts":[["2023"]]},"page":"171-188","publisher":"Springer","title":"Consumer Protection in the Digital Age: A Reflection on Regulation 2022/2065 (Digital Services Act—DSA) and Agenda 2030","type":"paper-conference"},"uris":["http://www.mendeley.com/documents/?uuid=c0430453-49df-4234-808c-f274a53a9b47"]}],"mendeley":{"formattedCitation":"(de Araujo Meirelles Magalhães &amp; Calle, 2023)","plainTextFormattedCitation":"(de Araujo Meirelles Magalhães &amp; Calle, 2023)","previouslyFormattedCitation":"(de Araujo Meirelles Magalhães &amp; Calle, 2023)"},"properties":{"noteIndex":0},"schema":"https://github.com/citation-style-language/schema/raw/master/csl-citation.json"}</w:instrText>
      </w:r>
      <w:r w:rsidR="00C51F3C">
        <w:rPr>
          <w:rFonts w:ascii="Times New Roman" w:eastAsia="Times New Roman" w:hAnsi="Times New Roman" w:cs="Times New Roman"/>
          <w:sz w:val="24"/>
          <w:szCs w:val="24"/>
        </w:rPr>
        <w:fldChar w:fldCharType="separate"/>
      </w:r>
      <w:r w:rsidR="00C51F3C" w:rsidRPr="00C51F3C">
        <w:rPr>
          <w:rFonts w:ascii="Times New Roman" w:eastAsia="Times New Roman" w:hAnsi="Times New Roman" w:cs="Times New Roman"/>
          <w:noProof/>
          <w:sz w:val="24"/>
          <w:szCs w:val="24"/>
        </w:rPr>
        <w:t>(de Araujo Meirelles Magalhães &amp; Calle, 2023)</w:t>
      </w:r>
      <w:r w:rsidR="00C51F3C">
        <w:rPr>
          <w:rFonts w:ascii="Times New Roman" w:eastAsia="Times New Roman" w:hAnsi="Times New Roman" w:cs="Times New Roman"/>
          <w:sz w:val="24"/>
          <w:szCs w:val="24"/>
        </w:rPr>
        <w:fldChar w:fldCharType="end"/>
      </w:r>
      <w:r w:rsidRPr="00F52C62">
        <w:rPr>
          <w:rFonts w:ascii="Times New Roman" w:eastAsia="Times New Roman" w:hAnsi="Times New Roman" w:cs="Times New Roman"/>
          <w:sz w:val="24"/>
          <w:szCs w:val="24"/>
        </w:rPr>
        <w:t>. Meanwhile, India’s Aadhaar program serves as a national digital identity and biometric system but remains unrelated to social media platforms (Krishna, 2020).</w:t>
      </w:r>
    </w:p>
    <w:p w14:paraId="330A223A" w14:textId="3F6692A1" w:rsidR="00F52C62" w:rsidRPr="00F52C62"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lastRenderedPageBreak/>
        <w:t>The novelty of this research lies in three key aspects. First, it addresses an empirical gap by applying DNA to a new and timely policy issue—digital identity regulation—that has not been systematically investigated. Second, it contributes a unique empirical case from Indonesia, a major digital economy in the Global South, thereby enriching a literature often dominated by Western contexts. Third, it demonstrates the methodological utility of applying DNA to online news data, offering a replicable model for analyzing similar policy debates in other emerging digital contexts.</w:t>
      </w:r>
    </w:p>
    <w:p w14:paraId="758E7AC9" w14:textId="10C70DBC" w:rsidR="00E8748C" w:rsidRDefault="00F52C62" w:rsidP="00F52C62">
      <w:pPr>
        <w:spacing w:after="0" w:line="276" w:lineRule="auto"/>
        <w:ind w:firstLine="720"/>
        <w:jc w:val="both"/>
        <w:rPr>
          <w:rFonts w:ascii="Times New Roman" w:eastAsia="Times New Roman" w:hAnsi="Times New Roman" w:cs="Times New Roman"/>
          <w:sz w:val="24"/>
          <w:szCs w:val="24"/>
        </w:rPr>
      </w:pPr>
      <w:r w:rsidRPr="00F52C62">
        <w:rPr>
          <w:rFonts w:ascii="Times New Roman" w:eastAsia="Times New Roman" w:hAnsi="Times New Roman" w:cs="Times New Roman"/>
          <w:sz w:val="24"/>
          <w:szCs w:val="24"/>
        </w:rPr>
        <w:t>The primary objective of this research is to map the discourse network surrounding the “One Person, One Social Media Account” issue in Indonesian online media. Its specific goals are: (1) to identify key actors and their organizational affiliations; (2) to determine the central concepts and storylines within the debate; and (3) to analyze the network structure of actor and concept coalitions. Theoretically, the study extends the application of the DCF and DNA frameworks to a new policy domain. Practically, it provides an evidence-based mapping of the debate to inform more transparent and democratic policy deliberations on digital governance in Indonesia</w:t>
      </w:r>
      <w:r w:rsidR="00E8748C" w:rsidRPr="00E8748C">
        <w:rPr>
          <w:rFonts w:ascii="Times New Roman" w:eastAsia="Times New Roman" w:hAnsi="Times New Roman" w:cs="Times New Roman"/>
          <w:sz w:val="24"/>
          <w:szCs w:val="24"/>
        </w:rPr>
        <w:t>.</w:t>
      </w:r>
    </w:p>
    <w:p w14:paraId="3DD43A20" w14:textId="77777777" w:rsidR="009E520E" w:rsidRDefault="009E520E">
      <w:pPr>
        <w:spacing w:after="0" w:line="276" w:lineRule="auto"/>
        <w:rPr>
          <w:rFonts w:ascii="Times New Roman" w:eastAsia="Times New Roman" w:hAnsi="Times New Roman" w:cs="Times New Roman"/>
          <w:sz w:val="24"/>
          <w:szCs w:val="24"/>
        </w:rPr>
      </w:pPr>
    </w:p>
    <w:p w14:paraId="5B3401C4" w14:textId="441391FC" w:rsidR="00A1176A" w:rsidRDefault="005C6DD9">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METHOD</w:t>
      </w:r>
    </w:p>
    <w:p w14:paraId="04C25BDF" w14:textId="3B14AED8" w:rsidR="00F52C62" w:rsidRPr="00F52C62" w:rsidRDefault="00F52C62" w:rsidP="00F52C62">
      <w:pPr>
        <w:spacing w:after="0"/>
        <w:ind w:firstLine="720"/>
        <w:jc w:val="both"/>
        <w:rPr>
          <w:rFonts w:ascii="Times New Roman" w:eastAsia="Georgia" w:hAnsi="Times New Roman" w:cs="Times New Roman"/>
          <w:sz w:val="24"/>
          <w:szCs w:val="24"/>
        </w:rPr>
      </w:pPr>
      <w:bookmarkStart w:id="0" w:name="analisis-jaringan-wacana"/>
      <w:r w:rsidRPr="00F52C62">
        <w:rPr>
          <w:rFonts w:ascii="Times New Roman" w:eastAsia="Georgia" w:hAnsi="Times New Roman" w:cs="Times New Roman"/>
          <w:sz w:val="24"/>
          <w:szCs w:val="24"/>
        </w:rPr>
        <w:t>This study adopts the Discourse Network Analysis (DNA) method developed by Philip Leifeld (Leifeld, 2017, 2020). DNA is a methodological approach that integrates network analysis—particularly social network analysis—with qualitative content analysis (Leifeld, 2020). Systematically, this method measures actors’ beliefs and discourses using textual sources and converts them into data formats compatible with policy network analysis (Leifeld &amp; Schneider, 2012). DNA focuses on the actors and the networks formed among dominant participants in a policy discussion. It maps the discourses that develop around an issue and the actors who advance them.</w:t>
      </w:r>
    </w:p>
    <w:p w14:paraId="73985502" w14:textId="276A7B9B" w:rsidR="00F52C62" w:rsidRPr="00F52C62" w:rsidRDefault="00F52C62" w:rsidP="00F52C62">
      <w:pPr>
        <w:spacing w:after="0"/>
        <w:ind w:firstLine="720"/>
        <w:jc w:val="both"/>
        <w:rPr>
          <w:rFonts w:ascii="Times New Roman" w:eastAsia="Georgia" w:hAnsi="Times New Roman" w:cs="Times New Roman"/>
          <w:sz w:val="24"/>
          <w:szCs w:val="24"/>
        </w:rPr>
      </w:pPr>
      <w:r w:rsidRPr="00F52C62">
        <w:rPr>
          <w:rFonts w:ascii="Times New Roman" w:eastAsia="Georgia" w:hAnsi="Times New Roman" w:cs="Times New Roman"/>
          <w:sz w:val="24"/>
          <w:szCs w:val="24"/>
        </w:rPr>
        <w:t>In this study, DNA was applied to map the network of discourses surrounding the issue of “One Person One Social Media Account” and to identify the dominant actors—namely, individuals—who expressed arguments within this discourse. The resulting network represents affiliations linking actors to the concepts they use, distinguishing between positive (supportive) and negative (opposing) positions. Additionally, an actor congruence network forms when two or more actors use the same concept in the same way, either in mutual support or rejection. A conflict network emerges when actors express opposing arguments regarding the same concept. Finally, a conceptual congruence network links two concepts that are used together by the same actor (Leifeld, 2017, 2020).</w:t>
      </w:r>
    </w:p>
    <w:p w14:paraId="36022696" w14:textId="77777777" w:rsidR="00F52C62" w:rsidRPr="00F52C62" w:rsidRDefault="00F52C62" w:rsidP="00F52C62">
      <w:pPr>
        <w:spacing w:after="0"/>
        <w:ind w:firstLine="720"/>
        <w:jc w:val="both"/>
        <w:rPr>
          <w:rFonts w:ascii="Times New Roman" w:eastAsia="Georgia" w:hAnsi="Times New Roman" w:cs="Times New Roman"/>
          <w:sz w:val="24"/>
          <w:szCs w:val="24"/>
        </w:rPr>
      </w:pPr>
      <w:r w:rsidRPr="00F52C62">
        <w:rPr>
          <w:rFonts w:ascii="Times New Roman" w:eastAsia="Georgia" w:hAnsi="Times New Roman" w:cs="Times New Roman"/>
          <w:sz w:val="24"/>
          <w:szCs w:val="24"/>
        </w:rPr>
        <w:t>The data for this research consisted of online news articles published between July and September 2025, covering the period from the emergence of the discourse in the House of Representatives to its wider public discussion. The online news database was compiled using Google News. The coding process was conducted with the Discourse Network Analyzer (DNA) application, and data visualization was performed using the Visone application. Digital footprints in the form of online news articles were collected using the keywords “One Person One Social Media Account” and “1 Person 1 Social Media Account”, resulting in 81 articles. Each article was input into the DNA software and broken down into multiple statement units, each consisting of one actor and one concept. A single news article could contain several statements, and one actor could make multiple statements. In total, 225 statements were identified from 42 actors.</w:t>
      </w:r>
    </w:p>
    <w:p w14:paraId="0B8F21E3" w14:textId="77777777" w:rsidR="00F52C62" w:rsidRPr="00F52C62" w:rsidRDefault="00F52C62" w:rsidP="00F52C62">
      <w:pPr>
        <w:spacing w:after="0"/>
        <w:ind w:firstLine="720"/>
        <w:jc w:val="both"/>
        <w:rPr>
          <w:rFonts w:ascii="Times New Roman" w:eastAsia="Georgia" w:hAnsi="Times New Roman" w:cs="Times New Roman"/>
          <w:sz w:val="24"/>
          <w:szCs w:val="24"/>
        </w:rPr>
      </w:pPr>
    </w:p>
    <w:p w14:paraId="4653C745" w14:textId="232A4374" w:rsidR="00F52C62" w:rsidRPr="00F52C62" w:rsidRDefault="00F52C62" w:rsidP="00F52C62">
      <w:pPr>
        <w:spacing w:after="0"/>
        <w:ind w:firstLine="720"/>
        <w:jc w:val="both"/>
        <w:rPr>
          <w:rFonts w:ascii="Times New Roman" w:eastAsia="Georgia" w:hAnsi="Times New Roman" w:cs="Times New Roman"/>
          <w:sz w:val="24"/>
          <w:szCs w:val="24"/>
        </w:rPr>
      </w:pPr>
      <w:r w:rsidRPr="00F52C62">
        <w:rPr>
          <w:rFonts w:ascii="Times New Roman" w:eastAsia="Georgia" w:hAnsi="Times New Roman" w:cs="Times New Roman"/>
          <w:sz w:val="24"/>
          <w:szCs w:val="24"/>
        </w:rPr>
        <w:t>These statements were then coded inductively based on four main elements: “Person” (the actor making the statement), “Organization” (the actor’s affiliated institution or profession), “Concept” (the essence of the discourse expressed), and “Agreement” (pro or contra position). From this process, 13 organizations or professions and 125 concepts were identified.</w:t>
      </w:r>
    </w:p>
    <w:p w14:paraId="6C5A7CE0" w14:textId="000D8EC1" w:rsidR="00F52C62" w:rsidRPr="00F52C62" w:rsidRDefault="00F52C62" w:rsidP="00F52C62">
      <w:pPr>
        <w:spacing w:after="0"/>
        <w:ind w:firstLine="720"/>
        <w:jc w:val="both"/>
        <w:rPr>
          <w:rFonts w:ascii="Times New Roman" w:eastAsia="Georgia" w:hAnsi="Times New Roman" w:cs="Times New Roman"/>
          <w:sz w:val="24"/>
          <w:szCs w:val="24"/>
        </w:rPr>
      </w:pPr>
      <w:r w:rsidRPr="00F52C62">
        <w:rPr>
          <w:rFonts w:ascii="Times New Roman" w:eastAsia="Georgia" w:hAnsi="Times New Roman" w:cs="Times New Roman"/>
          <w:sz w:val="24"/>
          <w:szCs w:val="24"/>
        </w:rPr>
        <w:t>Subsequently, all data were analyzed in the Visone application to generate network visualizations and statistical tables. These networks illustrated the relationships between actors and concepts, revealing actor coalitions, concept coalitions, and affiliation (actor–concept) networks. Meanwhile, the statistical output included network metrics, particularly centrality measures, which describe the dominance or influence of actors and concepts (Patria et al., 2025).</w:t>
      </w:r>
    </w:p>
    <w:p w14:paraId="44ADEC81" w14:textId="66759841" w:rsidR="00C751FD" w:rsidRDefault="00F52C62" w:rsidP="00F52C62">
      <w:pPr>
        <w:spacing w:after="0"/>
        <w:ind w:firstLine="720"/>
        <w:jc w:val="both"/>
        <w:rPr>
          <w:rFonts w:ascii="Times New Roman" w:eastAsia="Georgia" w:hAnsi="Times New Roman" w:cs="Times New Roman"/>
          <w:sz w:val="24"/>
          <w:szCs w:val="24"/>
        </w:rPr>
      </w:pPr>
      <w:r w:rsidRPr="00F52C62">
        <w:rPr>
          <w:rFonts w:ascii="Times New Roman" w:eastAsia="Georgia" w:hAnsi="Times New Roman" w:cs="Times New Roman"/>
          <w:sz w:val="24"/>
          <w:szCs w:val="24"/>
        </w:rPr>
        <w:t xml:space="preserve">Three types of </w:t>
      </w:r>
      <w:proofErr w:type="gramStart"/>
      <w:r w:rsidRPr="00F52C62">
        <w:rPr>
          <w:rFonts w:ascii="Times New Roman" w:eastAsia="Georgia" w:hAnsi="Times New Roman" w:cs="Times New Roman"/>
          <w:sz w:val="24"/>
          <w:szCs w:val="24"/>
        </w:rPr>
        <w:t>centrality</w:t>
      </w:r>
      <w:proofErr w:type="gramEnd"/>
      <w:r w:rsidRPr="00F52C62">
        <w:rPr>
          <w:rFonts w:ascii="Times New Roman" w:eastAsia="Georgia" w:hAnsi="Times New Roman" w:cs="Times New Roman"/>
          <w:sz w:val="24"/>
          <w:szCs w:val="24"/>
        </w:rPr>
        <w:t xml:space="preserve"> were analyzed. First, degree centrality measures the popularity or level of dominance of an actor or concept. When applied to actor networks, degree centrality indicates the number of connections an actor has with others—the higher the value, the more dominant the actor or concept (</w:t>
      </w:r>
      <w:proofErr w:type="spellStart"/>
      <w:r w:rsidRPr="00F52C62">
        <w:rPr>
          <w:rFonts w:ascii="Times New Roman" w:eastAsia="Georgia" w:hAnsi="Times New Roman" w:cs="Times New Roman"/>
          <w:sz w:val="24"/>
          <w:szCs w:val="24"/>
        </w:rPr>
        <w:t>Eriyanto</w:t>
      </w:r>
      <w:proofErr w:type="spellEnd"/>
      <w:r w:rsidRPr="00F52C62">
        <w:rPr>
          <w:rFonts w:ascii="Times New Roman" w:eastAsia="Georgia" w:hAnsi="Times New Roman" w:cs="Times New Roman"/>
          <w:sz w:val="24"/>
          <w:szCs w:val="24"/>
        </w:rPr>
        <w:t xml:space="preserve"> &amp; Ali, 2020). Second, closeness centrality identifies network proximity. In actor networks, it describes how close one actor is to others; in conceptual networks, it indicates the proximity between discourses. Third, betweenness centrality measures the extent to which an actor or concept serves as a connector within the network. A high betweenness centrality value indicates that the actor or concept plays the role of a “bridge” between otherwise unconnected nodes (</w:t>
      </w:r>
      <w:proofErr w:type="spellStart"/>
      <w:r w:rsidRPr="00F52C62">
        <w:rPr>
          <w:rFonts w:ascii="Times New Roman" w:eastAsia="Georgia" w:hAnsi="Times New Roman" w:cs="Times New Roman"/>
          <w:sz w:val="24"/>
          <w:szCs w:val="24"/>
        </w:rPr>
        <w:t>Eriyanto</w:t>
      </w:r>
      <w:proofErr w:type="spellEnd"/>
      <w:r w:rsidRPr="00F52C62">
        <w:rPr>
          <w:rFonts w:ascii="Times New Roman" w:eastAsia="Georgia" w:hAnsi="Times New Roman" w:cs="Times New Roman"/>
          <w:sz w:val="24"/>
          <w:szCs w:val="24"/>
        </w:rPr>
        <w:t xml:space="preserve"> &amp; Ali, 2020).</w:t>
      </w:r>
      <w:r w:rsidR="00C751FD" w:rsidRPr="00DB0548">
        <w:rPr>
          <w:rFonts w:ascii="Times New Roman" w:eastAsia="Georgia" w:hAnsi="Times New Roman" w:cs="Times New Roman"/>
          <w:sz w:val="24"/>
          <w:szCs w:val="24"/>
        </w:rPr>
        <w:t xml:space="preserve"> </w:t>
      </w:r>
      <w:bookmarkEnd w:id="0"/>
    </w:p>
    <w:p w14:paraId="17990234" w14:textId="77777777" w:rsidR="009E520E" w:rsidRPr="009E520E" w:rsidRDefault="009E520E" w:rsidP="009E520E">
      <w:pPr>
        <w:spacing w:after="0"/>
        <w:jc w:val="both"/>
        <w:rPr>
          <w:rFonts w:ascii="Times New Roman" w:eastAsia="Georgia" w:hAnsi="Times New Roman" w:cs="Times New Roman"/>
          <w:sz w:val="24"/>
          <w:szCs w:val="24"/>
        </w:rPr>
      </w:pPr>
    </w:p>
    <w:p w14:paraId="12530B7C" w14:textId="77777777" w:rsidR="009E520E" w:rsidRDefault="005C6DD9" w:rsidP="009E520E">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RESULT AND DISCUSSION</w:t>
      </w:r>
    </w:p>
    <w:p w14:paraId="3353F236" w14:textId="77777777" w:rsidR="009E520E" w:rsidRDefault="00C751FD" w:rsidP="00C51F3C">
      <w:pPr>
        <w:spacing w:after="0" w:line="276" w:lineRule="auto"/>
        <w:ind w:firstLine="720"/>
        <w:jc w:val="both"/>
        <w:rPr>
          <w:rFonts w:ascii="Times New Roman" w:eastAsia="Times New Roman" w:hAnsi="Times New Roman" w:cs="Times New Roman"/>
          <w:b/>
          <w:color w:val="002060"/>
          <w:sz w:val="24"/>
          <w:szCs w:val="24"/>
        </w:rPr>
      </w:pPr>
      <w:r w:rsidRPr="00DB0548">
        <w:rPr>
          <w:rFonts w:ascii="Times New Roman" w:eastAsia="Georgia" w:hAnsi="Times New Roman" w:cs="Times New Roman"/>
          <w:sz w:val="24"/>
          <w:szCs w:val="24"/>
        </w:rPr>
        <w:t xml:space="preserve">This study will show three types of networks that occur, namely actor networks, concept networks, and affiliate networks, from 81 online news articles collected during July 2025 to October 2025. </w:t>
      </w:r>
    </w:p>
    <w:p w14:paraId="6A2228E6" w14:textId="0B26B3C4" w:rsidR="00C751FD" w:rsidRPr="00E8748C" w:rsidRDefault="00C751FD" w:rsidP="00E8748C">
      <w:pPr>
        <w:spacing w:after="0" w:line="276" w:lineRule="auto"/>
        <w:jc w:val="center"/>
        <w:rPr>
          <w:rFonts w:ascii="Times New Roman" w:eastAsia="Times New Roman" w:hAnsi="Times New Roman" w:cs="Times New Roman"/>
          <w:b/>
          <w:bCs/>
          <w:color w:val="002060"/>
          <w:sz w:val="24"/>
          <w:szCs w:val="24"/>
        </w:rPr>
      </w:pPr>
      <w:r w:rsidRPr="00E8748C">
        <w:rPr>
          <w:rFonts w:ascii="Times New Roman" w:eastAsia="Georgia" w:hAnsi="Times New Roman" w:cs="Times New Roman"/>
          <w:b/>
          <w:bCs/>
          <w:sz w:val="24"/>
          <w:szCs w:val="24"/>
        </w:rPr>
        <w:t xml:space="preserve">Figure </w:t>
      </w:r>
      <w:proofErr w:type="gramStart"/>
      <w:r w:rsidRPr="00E8748C">
        <w:rPr>
          <w:rFonts w:ascii="Times New Roman" w:eastAsia="Georgia" w:hAnsi="Times New Roman" w:cs="Times New Roman"/>
          <w:b/>
          <w:bCs/>
          <w:sz w:val="24"/>
          <w:szCs w:val="24"/>
        </w:rPr>
        <w:t xml:space="preserve">1 </w:t>
      </w:r>
      <w:r w:rsidR="00E8748C" w:rsidRPr="00E8748C">
        <w:rPr>
          <w:rFonts w:ascii="Times New Roman" w:eastAsia="Times New Roman" w:hAnsi="Times New Roman" w:cs="Times New Roman"/>
          <w:b/>
          <w:bCs/>
          <w:color w:val="002060"/>
          <w:sz w:val="24"/>
          <w:szCs w:val="24"/>
        </w:rPr>
        <w:t xml:space="preserve"> </w:t>
      </w:r>
      <w:r w:rsidRPr="00E8748C">
        <w:rPr>
          <w:rFonts w:ascii="Times New Roman" w:eastAsia="Georgia" w:hAnsi="Times New Roman" w:cs="Times New Roman"/>
          <w:b/>
          <w:bCs/>
          <w:sz w:val="24"/>
          <w:szCs w:val="24"/>
        </w:rPr>
        <w:t>Actor</w:t>
      </w:r>
      <w:proofErr w:type="gramEnd"/>
      <w:r w:rsidRPr="00E8748C">
        <w:rPr>
          <w:rFonts w:ascii="Times New Roman" w:eastAsia="Georgia" w:hAnsi="Times New Roman" w:cs="Times New Roman"/>
          <w:b/>
          <w:bCs/>
          <w:sz w:val="24"/>
          <w:szCs w:val="24"/>
        </w:rPr>
        <w:t xml:space="preserve"> Networks in Discourse One Person One Social Media Account</w:t>
      </w:r>
    </w:p>
    <w:p w14:paraId="5DFC6167" w14:textId="64F97506" w:rsidR="009E520E" w:rsidRDefault="009E520E" w:rsidP="00E8748C">
      <w:pPr>
        <w:spacing w:after="240"/>
        <w:jc w:val="center"/>
        <w:rPr>
          <w:rFonts w:ascii="Times New Roman" w:eastAsia="Georgia" w:hAnsi="Times New Roman" w:cs="Times New Roman"/>
          <w:b/>
          <w:bCs/>
          <w:i/>
          <w:iCs/>
          <w:sz w:val="24"/>
          <w:szCs w:val="24"/>
        </w:rPr>
      </w:pPr>
      <w:r w:rsidRPr="00DB0548">
        <w:rPr>
          <w:rFonts w:ascii="Times New Roman" w:eastAsia="Georgia" w:hAnsi="Times New Roman" w:cs="Times New Roman"/>
          <w:i/>
          <w:iCs/>
          <w:noProof/>
          <w:sz w:val="24"/>
          <w:szCs w:val="24"/>
        </w:rPr>
        <w:drawing>
          <wp:inline distT="0" distB="0" distL="0" distR="0" wp14:anchorId="510B571F" wp14:editId="3B1A2856">
            <wp:extent cx="2883535" cy="2139950"/>
            <wp:effectExtent l="0" t="0" r="0" b="0"/>
            <wp:docPr id="3903055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3535" cy="2139950"/>
                    </a:xfrm>
                    <a:prstGeom prst="rect">
                      <a:avLst/>
                    </a:prstGeom>
                    <a:noFill/>
                  </pic:spPr>
                </pic:pic>
              </a:graphicData>
            </a:graphic>
          </wp:inline>
        </w:drawing>
      </w:r>
    </w:p>
    <w:p w14:paraId="43EE41DE" w14:textId="77777777" w:rsidR="009E520E" w:rsidRPr="00DB0548" w:rsidRDefault="009E520E" w:rsidP="00E8748C">
      <w:pPr>
        <w:spacing w:after="0"/>
        <w:jc w:val="center"/>
        <w:rPr>
          <w:rFonts w:ascii="Times New Roman" w:eastAsia="Georgia" w:hAnsi="Times New Roman" w:cs="Times New Roman"/>
          <w:sz w:val="24"/>
          <w:szCs w:val="24"/>
        </w:rPr>
      </w:pPr>
      <w:r w:rsidRPr="00DB0548">
        <w:rPr>
          <w:rFonts w:ascii="Times New Roman" w:eastAsia="Georgia" w:hAnsi="Times New Roman" w:cs="Times New Roman"/>
          <w:b/>
          <w:bCs/>
          <w:sz w:val="24"/>
          <w:szCs w:val="24"/>
        </w:rPr>
        <w:t xml:space="preserve">Source: </w:t>
      </w:r>
      <w:r w:rsidRPr="00DB0548">
        <w:rPr>
          <w:rFonts w:ascii="Times New Roman" w:eastAsia="Georgia" w:hAnsi="Times New Roman" w:cs="Times New Roman"/>
          <w:sz w:val="24"/>
          <w:szCs w:val="24"/>
        </w:rPr>
        <w:t>Visone</w:t>
      </w:r>
      <w:r w:rsidRPr="00DB0548">
        <w:rPr>
          <w:rFonts w:ascii="Times New Roman" w:eastAsia="Georgia" w:hAnsi="Times New Roman" w:cs="Times New Roman"/>
          <w:i/>
          <w:iCs/>
          <w:sz w:val="24"/>
          <w:szCs w:val="24"/>
        </w:rPr>
        <w:t xml:space="preserve"> Processed Data</w:t>
      </w:r>
      <w:r w:rsidRPr="00DB0548">
        <w:rPr>
          <w:rFonts w:ascii="Times New Roman" w:eastAsia="Georgia" w:hAnsi="Times New Roman" w:cs="Times New Roman"/>
          <w:sz w:val="24"/>
          <w:szCs w:val="24"/>
        </w:rPr>
        <w:t>, 2025</w:t>
      </w:r>
    </w:p>
    <w:p w14:paraId="167A32D8" w14:textId="77777777" w:rsidR="00E8748C" w:rsidRDefault="00E8748C" w:rsidP="00E8748C">
      <w:pPr>
        <w:spacing w:after="0"/>
        <w:ind w:firstLine="720"/>
        <w:jc w:val="both"/>
        <w:rPr>
          <w:rFonts w:ascii="Times New Roman" w:eastAsia="Georgia" w:hAnsi="Times New Roman" w:cs="Times New Roman"/>
          <w:sz w:val="24"/>
          <w:szCs w:val="24"/>
        </w:rPr>
      </w:pPr>
    </w:p>
    <w:p w14:paraId="65B45FF4" w14:textId="66CB0B37" w:rsidR="009E520E" w:rsidRDefault="009E520E" w:rsidP="00E8748C">
      <w:pPr>
        <w:spacing w:after="0"/>
        <w:ind w:firstLine="720"/>
        <w:jc w:val="both"/>
        <w:rPr>
          <w:rFonts w:ascii="Times New Roman" w:eastAsia="Georgia" w:hAnsi="Times New Roman" w:cs="Times New Roman"/>
          <w:sz w:val="24"/>
          <w:szCs w:val="24"/>
        </w:rPr>
      </w:pPr>
      <w:r w:rsidRPr="00DB0548">
        <w:rPr>
          <w:rFonts w:ascii="Times New Roman" w:eastAsia="Georgia" w:hAnsi="Times New Roman" w:cs="Times New Roman"/>
          <w:sz w:val="24"/>
          <w:szCs w:val="24"/>
        </w:rPr>
        <w:t xml:space="preserve">From the visualization, it appears that 42 actors formed several connected clusters based on the pros and cons of arguments on the issue of One Person One Social Media Account. The upper cluster forms the largest connected network with 16 nodes being the issue support cluster. The majority of actors come from the legislative body (DPR &amp; MPR) that initiated the issue, officials of the Ministry of Information and Digital, and government spokespersons. The </w:t>
      </w:r>
      <w:r w:rsidRPr="00DB0548">
        <w:rPr>
          <w:rFonts w:ascii="Times New Roman" w:eastAsia="Georgia" w:hAnsi="Times New Roman" w:cs="Times New Roman"/>
          <w:sz w:val="24"/>
          <w:szCs w:val="24"/>
        </w:rPr>
        <w:lastRenderedPageBreak/>
        <w:t xml:space="preserve">smaller central cluster forms a moderately connected network, consisting of 7 interconnected nodes. There are two small separate components in the central cluster, with 2 nodes associated and the other 2 isolated. Meanwhile, at the bottom there are 15 isolated actors who have no relationship with other actors. The middle and lower clusters consist of academics, digital activists, human rights activists, and community members. </w:t>
      </w:r>
    </w:p>
    <w:p w14:paraId="3B6A1226" w14:textId="77777777" w:rsidR="00E8748C" w:rsidRDefault="00E8748C" w:rsidP="00E8748C">
      <w:pPr>
        <w:spacing w:after="0"/>
        <w:jc w:val="center"/>
        <w:rPr>
          <w:rFonts w:ascii="Times New Roman" w:eastAsia="Georgia" w:hAnsi="Times New Roman" w:cs="Times New Roman"/>
          <w:b/>
          <w:bCs/>
          <w:color w:val="000000"/>
          <w:sz w:val="24"/>
          <w:szCs w:val="24"/>
        </w:rPr>
      </w:pPr>
    </w:p>
    <w:p w14:paraId="07EFE7CF" w14:textId="20F6E98A" w:rsidR="009E520E" w:rsidRPr="00E8748C" w:rsidRDefault="009E520E" w:rsidP="00E8748C">
      <w:pPr>
        <w:spacing w:after="0"/>
        <w:jc w:val="center"/>
        <w:rPr>
          <w:rFonts w:ascii="Times New Roman" w:eastAsia="Georgia" w:hAnsi="Times New Roman" w:cs="Times New Roman"/>
          <w:b/>
          <w:bCs/>
          <w:sz w:val="24"/>
          <w:szCs w:val="24"/>
        </w:rPr>
      </w:pPr>
      <w:r w:rsidRPr="00E8748C">
        <w:rPr>
          <w:rFonts w:ascii="Times New Roman" w:eastAsia="Georgia" w:hAnsi="Times New Roman" w:cs="Times New Roman"/>
          <w:b/>
          <w:bCs/>
          <w:color w:val="000000"/>
          <w:sz w:val="24"/>
          <w:szCs w:val="24"/>
        </w:rPr>
        <w:t>Table 1</w:t>
      </w:r>
      <w:r w:rsidR="00E8748C" w:rsidRPr="00E8748C">
        <w:rPr>
          <w:rFonts w:ascii="Times New Roman" w:eastAsia="Georgia" w:hAnsi="Times New Roman" w:cs="Times New Roman"/>
          <w:b/>
          <w:bCs/>
          <w:sz w:val="24"/>
          <w:szCs w:val="24"/>
        </w:rPr>
        <w:t xml:space="preserve"> </w:t>
      </w:r>
      <w:r w:rsidRPr="00E8748C">
        <w:rPr>
          <w:rFonts w:ascii="Times New Roman" w:eastAsia="Georgia" w:hAnsi="Times New Roman" w:cs="Times New Roman"/>
          <w:b/>
          <w:bCs/>
          <w:color w:val="000000"/>
          <w:sz w:val="24"/>
          <w:szCs w:val="24"/>
        </w:rPr>
        <w:t>Description of Actor Network Statistics</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21"/>
        <w:gridCol w:w="1155"/>
        <w:gridCol w:w="1006"/>
        <w:gridCol w:w="1126"/>
        <w:gridCol w:w="1158"/>
        <w:gridCol w:w="1200"/>
        <w:gridCol w:w="1460"/>
      </w:tblGrid>
      <w:tr w:rsidR="009E520E" w:rsidRPr="00DB0548" w14:paraId="7EE95FA8" w14:textId="77777777" w:rsidTr="00E8748C">
        <w:trPr>
          <w:jc w:val="center"/>
        </w:trPr>
        <w:tc>
          <w:tcPr>
            <w:tcW w:w="1921" w:type="dxa"/>
          </w:tcPr>
          <w:p w14:paraId="1EEF3049"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bookmarkStart w:id="1" w:name="_Hlk214530843"/>
            <w:r w:rsidRPr="00DB0548">
              <w:rPr>
                <w:rFonts w:ascii="Times New Roman" w:eastAsia="Cambria" w:hAnsi="Times New Roman" w:cs="Times New Roman"/>
              </w:rPr>
              <w:t>Actor</w:t>
            </w:r>
          </w:p>
        </w:tc>
        <w:tc>
          <w:tcPr>
            <w:tcW w:w="1155" w:type="dxa"/>
          </w:tcPr>
          <w:p w14:paraId="591C17BE"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Frequency</w:t>
            </w:r>
          </w:p>
        </w:tc>
        <w:tc>
          <w:tcPr>
            <w:tcW w:w="1006" w:type="dxa"/>
          </w:tcPr>
          <w:p w14:paraId="25C7A8D8"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Degree</w:t>
            </w:r>
          </w:p>
          <w:p w14:paraId="77A5319E"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w:t>
            </w:r>
          </w:p>
        </w:tc>
        <w:tc>
          <w:tcPr>
            <w:tcW w:w="1126" w:type="dxa"/>
          </w:tcPr>
          <w:p w14:paraId="176D81B9"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Indegree</w:t>
            </w:r>
          </w:p>
          <w:p w14:paraId="5F164B7B"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w:t>
            </w:r>
          </w:p>
        </w:tc>
        <w:tc>
          <w:tcPr>
            <w:tcW w:w="1158" w:type="dxa"/>
          </w:tcPr>
          <w:p w14:paraId="755A8D24"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Closeness (%)</w:t>
            </w:r>
          </w:p>
        </w:tc>
        <w:tc>
          <w:tcPr>
            <w:tcW w:w="1200" w:type="dxa"/>
          </w:tcPr>
          <w:p w14:paraId="2DE587A7"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Outdegree (%)</w:t>
            </w:r>
          </w:p>
        </w:tc>
        <w:tc>
          <w:tcPr>
            <w:tcW w:w="1460" w:type="dxa"/>
          </w:tcPr>
          <w:p w14:paraId="5991E8F5"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Betweenness</w:t>
            </w:r>
          </w:p>
          <w:p w14:paraId="4DA2F04C"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w:t>
            </w:r>
          </w:p>
        </w:tc>
      </w:tr>
      <w:tr w:rsidR="009E520E" w:rsidRPr="00DB0548" w14:paraId="0A5F79C8" w14:textId="77777777" w:rsidTr="00E8748C">
        <w:trPr>
          <w:jc w:val="center"/>
        </w:trPr>
        <w:tc>
          <w:tcPr>
            <w:tcW w:w="1921" w:type="dxa"/>
          </w:tcPr>
          <w:p w14:paraId="5A07BE3E"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Bambang Haryadi</w:t>
            </w:r>
          </w:p>
        </w:tc>
        <w:tc>
          <w:tcPr>
            <w:tcW w:w="1155" w:type="dxa"/>
          </w:tcPr>
          <w:p w14:paraId="761A476F"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20</w:t>
            </w:r>
          </w:p>
        </w:tc>
        <w:tc>
          <w:tcPr>
            <w:tcW w:w="1006" w:type="dxa"/>
          </w:tcPr>
          <w:p w14:paraId="69335147"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10,38</w:t>
            </w:r>
          </w:p>
        </w:tc>
        <w:tc>
          <w:tcPr>
            <w:tcW w:w="1126" w:type="dxa"/>
          </w:tcPr>
          <w:p w14:paraId="70C1F69E"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10,38</w:t>
            </w:r>
          </w:p>
        </w:tc>
        <w:tc>
          <w:tcPr>
            <w:tcW w:w="1158" w:type="dxa"/>
          </w:tcPr>
          <w:p w14:paraId="5C1F05D4"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7,05</w:t>
            </w:r>
          </w:p>
        </w:tc>
        <w:tc>
          <w:tcPr>
            <w:tcW w:w="1200" w:type="dxa"/>
          </w:tcPr>
          <w:p w14:paraId="2D2F8EBA"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10,38</w:t>
            </w:r>
          </w:p>
        </w:tc>
        <w:tc>
          <w:tcPr>
            <w:tcW w:w="1460" w:type="dxa"/>
          </w:tcPr>
          <w:p w14:paraId="148340F3"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25,27</w:t>
            </w:r>
          </w:p>
        </w:tc>
      </w:tr>
      <w:tr w:rsidR="009E520E" w:rsidRPr="00DB0548" w14:paraId="79F058FA" w14:textId="77777777" w:rsidTr="00E8748C">
        <w:trPr>
          <w:jc w:val="center"/>
        </w:trPr>
        <w:tc>
          <w:tcPr>
            <w:tcW w:w="1921" w:type="dxa"/>
          </w:tcPr>
          <w:p w14:paraId="0BCF966C"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By Soleh</w:t>
            </w:r>
          </w:p>
        </w:tc>
        <w:tc>
          <w:tcPr>
            <w:tcW w:w="1155" w:type="dxa"/>
          </w:tcPr>
          <w:p w14:paraId="35CA5985"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42</w:t>
            </w:r>
          </w:p>
        </w:tc>
        <w:tc>
          <w:tcPr>
            <w:tcW w:w="1006" w:type="dxa"/>
          </w:tcPr>
          <w:p w14:paraId="2ED90435"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6,60</w:t>
            </w:r>
          </w:p>
        </w:tc>
        <w:tc>
          <w:tcPr>
            <w:tcW w:w="1126" w:type="dxa"/>
          </w:tcPr>
          <w:p w14:paraId="56832444"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6,60</w:t>
            </w:r>
          </w:p>
        </w:tc>
        <w:tc>
          <w:tcPr>
            <w:tcW w:w="1158" w:type="dxa"/>
          </w:tcPr>
          <w:p w14:paraId="00133BB2"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5,38</w:t>
            </w:r>
          </w:p>
        </w:tc>
        <w:tc>
          <w:tcPr>
            <w:tcW w:w="1200" w:type="dxa"/>
          </w:tcPr>
          <w:p w14:paraId="7CE5B9DB"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6,60</w:t>
            </w:r>
          </w:p>
        </w:tc>
        <w:tc>
          <w:tcPr>
            <w:tcW w:w="1460" w:type="dxa"/>
          </w:tcPr>
          <w:p w14:paraId="14180E7C"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2,25</w:t>
            </w:r>
          </w:p>
        </w:tc>
      </w:tr>
      <w:tr w:rsidR="009E520E" w:rsidRPr="00DB0548" w14:paraId="79B2D9A8" w14:textId="77777777" w:rsidTr="00E8748C">
        <w:trPr>
          <w:jc w:val="center"/>
        </w:trPr>
        <w:tc>
          <w:tcPr>
            <w:tcW w:w="1921" w:type="dxa"/>
          </w:tcPr>
          <w:p w14:paraId="149255ED"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Ismail</w:t>
            </w:r>
          </w:p>
        </w:tc>
        <w:tc>
          <w:tcPr>
            <w:tcW w:w="1155" w:type="dxa"/>
          </w:tcPr>
          <w:p w14:paraId="4CF7162D"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18</w:t>
            </w:r>
          </w:p>
        </w:tc>
        <w:tc>
          <w:tcPr>
            <w:tcW w:w="1006" w:type="dxa"/>
          </w:tcPr>
          <w:p w14:paraId="3E1A9537"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9,43</w:t>
            </w:r>
          </w:p>
        </w:tc>
        <w:tc>
          <w:tcPr>
            <w:tcW w:w="1126" w:type="dxa"/>
          </w:tcPr>
          <w:p w14:paraId="1CDB22CB"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9,43</w:t>
            </w:r>
          </w:p>
        </w:tc>
        <w:tc>
          <w:tcPr>
            <w:tcW w:w="1158" w:type="dxa"/>
          </w:tcPr>
          <w:p w14:paraId="1DD287FC"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6,38</w:t>
            </w:r>
          </w:p>
        </w:tc>
        <w:tc>
          <w:tcPr>
            <w:tcW w:w="1200" w:type="dxa"/>
          </w:tcPr>
          <w:p w14:paraId="30B797E7"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9,43</w:t>
            </w:r>
          </w:p>
        </w:tc>
        <w:tc>
          <w:tcPr>
            <w:tcW w:w="1460" w:type="dxa"/>
          </w:tcPr>
          <w:p w14:paraId="0E4B4C17"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19,88</w:t>
            </w:r>
          </w:p>
        </w:tc>
      </w:tr>
      <w:tr w:rsidR="009E520E" w:rsidRPr="00DB0548" w14:paraId="3C74D717" w14:textId="77777777" w:rsidTr="00E8748C">
        <w:trPr>
          <w:jc w:val="center"/>
        </w:trPr>
        <w:tc>
          <w:tcPr>
            <w:tcW w:w="1921" w:type="dxa"/>
          </w:tcPr>
          <w:p w14:paraId="5D54F0EC"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A Point of Praise</w:t>
            </w:r>
          </w:p>
        </w:tc>
        <w:tc>
          <w:tcPr>
            <w:tcW w:w="1155" w:type="dxa"/>
          </w:tcPr>
          <w:p w14:paraId="1EAB8758"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11</w:t>
            </w:r>
          </w:p>
        </w:tc>
        <w:tc>
          <w:tcPr>
            <w:tcW w:w="1006" w:type="dxa"/>
          </w:tcPr>
          <w:p w14:paraId="35740D3E"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5,66</w:t>
            </w:r>
          </w:p>
        </w:tc>
        <w:tc>
          <w:tcPr>
            <w:tcW w:w="1126" w:type="dxa"/>
          </w:tcPr>
          <w:p w14:paraId="402CC7EF"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5,66</w:t>
            </w:r>
          </w:p>
        </w:tc>
        <w:tc>
          <w:tcPr>
            <w:tcW w:w="1158" w:type="dxa"/>
          </w:tcPr>
          <w:p w14:paraId="10FEEF73"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3,57</w:t>
            </w:r>
          </w:p>
        </w:tc>
        <w:tc>
          <w:tcPr>
            <w:tcW w:w="1200" w:type="dxa"/>
          </w:tcPr>
          <w:p w14:paraId="1F34B72B"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5,66</w:t>
            </w:r>
          </w:p>
        </w:tc>
        <w:tc>
          <w:tcPr>
            <w:tcW w:w="1460" w:type="dxa"/>
          </w:tcPr>
          <w:p w14:paraId="44639C6D"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3,57</w:t>
            </w:r>
          </w:p>
        </w:tc>
      </w:tr>
      <w:tr w:rsidR="009E520E" w:rsidRPr="00DB0548" w14:paraId="5ACF5C84" w14:textId="77777777" w:rsidTr="00E8748C">
        <w:trPr>
          <w:jc w:val="center"/>
        </w:trPr>
        <w:tc>
          <w:tcPr>
            <w:tcW w:w="1921" w:type="dxa"/>
          </w:tcPr>
          <w:p w14:paraId="696C70DC"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Gifts</w:t>
            </w:r>
          </w:p>
        </w:tc>
        <w:tc>
          <w:tcPr>
            <w:tcW w:w="1155" w:type="dxa"/>
          </w:tcPr>
          <w:p w14:paraId="00328A28"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1</w:t>
            </w:r>
          </w:p>
        </w:tc>
        <w:tc>
          <w:tcPr>
            <w:tcW w:w="1006" w:type="dxa"/>
          </w:tcPr>
          <w:p w14:paraId="2DEAD907"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126" w:type="dxa"/>
          </w:tcPr>
          <w:p w14:paraId="2594B9BD"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158" w:type="dxa"/>
          </w:tcPr>
          <w:p w14:paraId="55A64181"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200" w:type="dxa"/>
          </w:tcPr>
          <w:p w14:paraId="662BD464"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460" w:type="dxa"/>
          </w:tcPr>
          <w:p w14:paraId="3A7FFB10" w14:textId="77777777" w:rsidR="009E520E" w:rsidRPr="00DB0548" w:rsidRDefault="009E520E" w:rsidP="00185028">
            <w:pPr>
              <w:pBdr>
                <w:between w:val="single" w:sz="4" w:space="1" w:color="auto"/>
              </w:pBd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r>
    </w:tbl>
    <w:bookmarkEnd w:id="1"/>
    <w:p w14:paraId="2D45977F" w14:textId="77777777" w:rsidR="009E520E" w:rsidRPr="00DB0548" w:rsidRDefault="009E520E" w:rsidP="009E520E">
      <w:pPr>
        <w:shd w:val="clear" w:color="auto" w:fill="FFFFFF"/>
        <w:spacing w:after="0"/>
        <w:jc w:val="both"/>
        <w:rPr>
          <w:rFonts w:ascii="Times New Roman" w:eastAsia="Georgia" w:hAnsi="Times New Roman" w:cs="Times New Roman"/>
          <w:i/>
          <w:iCs/>
          <w:color w:val="000000"/>
          <w:sz w:val="24"/>
          <w:szCs w:val="24"/>
        </w:rPr>
      </w:pPr>
      <w:r w:rsidRPr="00DB0548">
        <w:rPr>
          <w:rFonts w:ascii="Times New Roman" w:eastAsia="Georgia" w:hAnsi="Times New Roman" w:cs="Times New Roman"/>
          <w:b/>
          <w:bCs/>
          <w:color w:val="000000"/>
          <w:sz w:val="24"/>
          <w:szCs w:val="24"/>
        </w:rPr>
        <w:t xml:space="preserve">Source: </w:t>
      </w:r>
      <w:proofErr w:type="gramStart"/>
      <w:r w:rsidRPr="00DB0548">
        <w:rPr>
          <w:rFonts w:ascii="Times New Roman" w:eastAsia="Georgia" w:hAnsi="Times New Roman" w:cs="Times New Roman"/>
          <w:b/>
          <w:bCs/>
          <w:color w:val="000000"/>
          <w:sz w:val="24"/>
          <w:szCs w:val="24"/>
        </w:rPr>
        <w:t xml:space="preserve">Visone </w:t>
      </w:r>
      <w:r w:rsidRPr="00DB0548">
        <w:rPr>
          <w:rFonts w:ascii="Times New Roman" w:eastAsia="Georgia" w:hAnsi="Times New Roman" w:cs="Times New Roman"/>
          <w:color w:val="000000"/>
          <w:sz w:val="24"/>
          <w:szCs w:val="24"/>
        </w:rPr>
        <w:t xml:space="preserve"> Processed</w:t>
      </w:r>
      <w:proofErr w:type="gramEnd"/>
      <w:r w:rsidRPr="00DB0548">
        <w:rPr>
          <w:rFonts w:ascii="Times New Roman" w:eastAsia="Georgia" w:hAnsi="Times New Roman" w:cs="Times New Roman"/>
          <w:color w:val="000000"/>
          <w:sz w:val="24"/>
          <w:szCs w:val="24"/>
        </w:rPr>
        <w:t xml:space="preserve"> Data</w:t>
      </w:r>
      <w:r w:rsidRPr="00DB0548">
        <w:rPr>
          <w:rFonts w:ascii="Times New Roman" w:eastAsia="Georgia" w:hAnsi="Times New Roman" w:cs="Times New Roman"/>
          <w:i/>
          <w:iCs/>
          <w:color w:val="000000"/>
          <w:sz w:val="24"/>
          <w:szCs w:val="24"/>
        </w:rPr>
        <w:t>, 2025</w:t>
      </w:r>
    </w:p>
    <w:p w14:paraId="53E8DE48" w14:textId="77777777" w:rsidR="00E8748C" w:rsidRDefault="00E8748C" w:rsidP="009E520E">
      <w:pPr>
        <w:shd w:val="clear" w:color="auto" w:fill="FFFFFF"/>
        <w:spacing w:after="0"/>
        <w:ind w:firstLine="720"/>
        <w:jc w:val="both"/>
        <w:rPr>
          <w:rFonts w:ascii="Times New Roman" w:eastAsia="Georgia" w:hAnsi="Times New Roman" w:cs="Times New Roman"/>
          <w:color w:val="000000"/>
          <w:sz w:val="24"/>
          <w:szCs w:val="24"/>
        </w:rPr>
      </w:pPr>
    </w:p>
    <w:p w14:paraId="61D1BCD3" w14:textId="2F0452CA" w:rsidR="009E520E" w:rsidRPr="00DB0548" w:rsidRDefault="009E520E" w:rsidP="009E520E">
      <w:pPr>
        <w:shd w:val="clear" w:color="auto" w:fill="FFFFFF"/>
        <w:spacing w:after="0"/>
        <w:ind w:firstLine="72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t xml:space="preserve">This table shows that Bambang Haryadi is the most influential actor in the network, because he gets the highest score in degrees </w:t>
      </w:r>
      <w:r w:rsidRPr="00DB0548">
        <w:rPr>
          <w:rFonts w:ascii="Times New Roman" w:eastAsia="Georgia" w:hAnsi="Times New Roman" w:cs="Times New Roman"/>
          <w:i/>
          <w:iCs/>
          <w:color w:val="000000"/>
          <w:sz w:val="24"/>
          <w:szCs w:val="24"/>
        </w:rPr>
        <w:t>of centrality</w:t>
      </w:r>
      <w:r w:rsidRPr="00DB0548">
        <w:rPr>
          <w:rFonts w:ascii="Times New Roman" w:eastAsia="Georgia" w:hAnsi="Times New Roman" w:cs="Times New Roman"/>
          <w:color w:val="000000"/>
          <w:sz w:val="24"/>
          <w:szCs w:val="24"/>
        </w:rPr>
        <w:t xml:space="preserve">, </w:t>
      </w:r>
      <w:r w:rsidRPr="00DB0548">
        <w:rPr>
          <w:rFonts w:ascii="Times New Roman" w:eastAsia="Georgia" w:hAnsi="Times New Roman" w:cs="Times New Roman"/>
          <w:i/>
          <w:iCs/>
          <w:color w:val="000000"/>
          <w:sz w:val="24"/>
          <w:szCs w:val="24"/>
        </w:rPr>
        <w:t>closeness</w:t>
      </w:r>
      <w:r w:rsidRPr="00DB0548">
        <w:rPr>
          <w:rFonts w:ascii="Times New Roman" w:eastAsia="Georgia" w:hAnsi="Times New Roman" w:cs="Times New Roman"/>
          <w:color w:val="000000"/>
          <w:sz w:val="24"/>
          <w:szCs w:val="24"/>
        </w:rPr>
        <w:t xml:space="preserve">, and </w:t>
      </w:r>
      <w:r w:rsidRPr="00DB0548">
        <w:rPr>
          <w:rFonts w:ascii="Times New Roman" w:eastAsia="Georgia" w:hAnsi="Times New Roman" w:cs="Times New Roman"/>
          <w:i/>
          <w:iCs/>
          <w:color w:val="000000"/>
          <w:sz w:val="24"/>
          <w:szCs w:val="24"/>
        </w:rPr>
        <w:t>betweenness</w:t>
      </w:r>
      <w:r w:rsidRPr="00DB0548">
        <w:rPr>
          <w:rFonts w:ascii="Times New Roman" w:eastAsia="Georgia" w:hAnsi="Times New Roman" w:cs="Times New Roman"/>
          <w:color w:val="000000"/>
          <w:sz w:val="24"/>
          <w:szCs w:val="24"/>
        </w:rPr>
        <w:t xml:space="preserve">. </w:t>
      </w:r>
      <w:r w:rsidRPr="00DB0548">
        <w:rPr>
          <w:rFonts w:ascii="Times New Roman" w:eastAsia="Georgia" w:hAnsi="Times New Roman" w:cs="Times New Roman"/>
          <w:i/>
          <w:iCs/>
          <w:color w:val="000000"/>
          <w:sz w:val="24"/>
          <w:szCs w:val="24"/>
        </w:rPr>
        <w:t xml:space="preserve">Degree centrality </w:t>
      </w:r>
      <w:r w:rsidRPr="00DB0548">
        <w:rPr>
          <w:rFonts w:ascii="Times New Roman" w:eastAsia="Georgia" w:hAnsi="Times New Roman" w:cs="Times New Roman"/>
          <w:color w:val="000000"/>
          <w:sz w:val="24"/>
          <w:szCs w:val="24"/>
        </w:rPr>
        <w:t xml:space="preserve">measures the number of direct connections an actor has. A score of 10.38% for Bambang Haryadi shows high visibility, where he has the most connections among actors in the network, making him the most popular. In terms of centrality of proximity, the score reached 7.05%. This score shows a high level of closeness with other actors in the network. Meanwhile, </w:t>
      </w:r>
      <w:r w:rsidRPr="00DB0548">
        <w:rPr>
          <w:rFonts w:ascii="Times New Roman" w:eastAsia="Georgia" w:hAnsi="Times New Roman" w:cs="Times New Roman"/>
          <w:i/>
          <w:iCs/>
          <w:color w:val="000000"/>
          <w:sz w:val="24"/>
          <w:szCs w:val="24"/>
        </w:rPr>
        <w:t xml:space="preserve">the betweenness </w:t>
      </w:r>
      <w:r w:rsidRPr="00DB0548">
        <w:rPr>
          <w:rFonts w:ascii="Times New Roman" w:eastAsia="Georgia" w:hAnsi="Times New Roman" w:cs="Times New Roman"/>
          <w:color w:val="000000"/>
          <w:sz w:val="24"/>
          <w:szCs w:val="24"/>
        </w:rPr>
        <w:t xml:space="preserve">or centrality of an intermediary measures the extent to which it is connected to other actors. The score of 25.27% for Bambang Haryadi shows that he acts as a crucial 'bridge' in the network. However, Oleh Soleh became the actor with the highest frequency score, becoming the actor who appeared the most in the discourse of One Person One Social Media Account. The table also shows that the five largest actors with the highest degree of centrality are actors from the discourse support group One Person One Social Media Account, the majority are members of the House of Representatives and two </w:t>
      </w:r>
      <w:proofErr w:type="spellStart"/>
      <w:r w:rsidRPr="00DB0548">
        <w:rPr>
          <w:rFonts w:ascii="Times New Roman" w:eastAsia="Georgia" w:hAnsi="Times New Roman" w:cs="Times New Roman"/>
          <w:color w:val="000000"/>
          <w:sz w:val="24"/>
          <w:szCs w:val="24"/>
        </w:rPr>
        <w:t>Komdigi</w:t>
      </w:r>
      <w:proofErr w:type="spellEnd"/>
      <w:r w:rsidRPr="00DB0548">
        <w:rPr>
          <w:rFonts w:ascii="Times New Roman" w:eastAsia="Georgia" w:hAnsi="Times New Roman" w:cs="Times New Roman"/>
          <w:color w:val="000000"/>
          <w:sz w:val="24"/>
          <w:szCs w:val="24"/>
        </w:rPr>
        <w:t xml:space="preserve"> officials. This shows that the actors from the supporting group become the actors with high visibility and have the most connections with other actors in the network.</w:t>
      </w:r>
    </w:p>
    <w:p w14:paraId="4645D4C0" w14:textId="77777777" w:rsidR="009E520E" w:rsidRPr="00DB0548" w:rsidRDefault="009E520E" w:rsidP="009E520E">
      <w:pPr>
        <w:shd w:val="clear" w:color="auto" w:fill="FFFFFF"/>
        <w:spacing w:after="0"/>
        <w:ind w:firstLine="72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t xml:space="preserve">Meanwhile, only 1 actor from the One Person One Social Media Account discourse counter group had a fairly high degree of centrality, namely, </w:t>
      </w:r>
      <w:proofErr w:type="spellStart"/>
      <w:r w:rsidRPr="00DB0548">
        <w:rPr>
          <w:rFonts w:ascii="Times New Roman" w:eastAsia="Georgia" w:hAnsi="Times New Roman" w:cs="Times New Roman"/>
          <w:color w:val="000000"/>
          <w:sz w:val="24"/>
          <w:szCs w:val="24"/>
        </w:rPr>
        <w:t>Titik</w:t>
      </w:r>
      <w:proofErr w:type="spellEnd"/>
      <w:r w:rsidRPr="00DB0548">
        <w:rPr>
          <w:rFonts w:ascii="Times New Roman" w:eastAsia="Georgia" w:hAnsi="Times New Roman" w:cs="Times New Roman"/>
          <w:color w:val="000000"/>
          <w:sz w:val="24"/>
          <w:szCs w:val="24"/>
        </w:rPr>
        <w:t xml:space="preserve"> Puji Rahayu, an academic from Airlangga University with a score of 5.66%, betweenness 3.57% and closeness 3.57%. This shows that Dots act as secondary connectors. Interestingly, in this counter-discourse group, there are also a number of isolated actors who are members of society (civilian) with a degree of centrality, betweenness and closeness of 0. They do not have a meaningful connection in the network, so they do not play a role in the flow of discourse.</w:t>
      </w:r>
    </w:p>
    <w:p w14:paraId="2B35D15C" w14:textId="77777777" w:rsidR="00E8748C" w:rsidRDefault="00E8748C" w:rsidP="009E520E">
      <w:pPr>
        <w:shd w:val="clear" w:color="auto" w:fill="FFFFFF"/>
        <w:spacing w:after="0"/>
        <w:jc w:val="both"/>
        <w:rPr>
          <w:rFonts w:ascii="Times New Roman" w:eastAsia="Georgia" w:hAnsi="Times New Roman" w:cs="Times New Roman"/>
          <w:b/>
          <w:bCs/>
          <w:color w:val="000000"/>
          <w:sz w:val="24"/>
          <w:szCs w:val="24"/>
        </w:rPr>
      </w:pPr>
    </w:p>
    <w:p w14:paraId="7FDA6821" w14:textId="77777777" w:rsidR="00E8748C" w:rsidRDefault="00E8748C" w:rsidP="009E520E">
      <w:pPr>
        <w:shd w:val="clear" w:color="auto" w:fill="FFFFFF"/>
        <w:spacing w:after="0"/>
        <w:jc w:val="both"/>
        <w:rPr>
          <w:rFonts w:ascii="Times New Roman" w:eastAsia="Georgia" w:hAnsi="Times New Roman" w:cs="Times New Roman"/>
          <w:b/>
          <w:bCs/>
          <w:color w:val="000000"/>
          <w:sz w:val="24"/>
          <w:szCs w:val="24"/>
        </w:rPr>
      </w:pPr>
    </w:p>
    <w:p w14:paraId="526FCB11" w14:textId="77777777" w:rsidR="00E8748C" w:rsidRDefault="00E8748C" w:rsidP="009E520E">
      <w:pPr>
        <w:shd w:val="clear" w:color="auto" w:fill="FFFFFF"/>
        <w:spacing w:after="0"/>
        <w:jc w:val="both"/>
        <w:rPr>
          <w:rFonts w:ascii="Times New Roman" w:eastAsia="Georgia" w:hAnsi="Times New Roman" w:cs="Times New Roman"/>
          <w:b/>
          <w:bCs/>
          <w:color w:val="000000"/>
          <w:sz w:val="24"/>
          <w:szCs w:val="24"/>
        </w:rPr>
      </w:pPr>
    </w:p>
    <w:p w14:paraId="70CAD7FC" w14:textId="77777777" w:rsidR="00E8748C" w:rsidRDefault="00E8748C" w:rsidP="009E520E">
      <w:pPr>
        <w:shd w:val="clear" w:color="auto" w:fill="FFFFFF"/>
        <w:spacing w:after="0"/>
        <w:jc w:val="both"/>
        <w:rPr>
          <w:rFonts w:ascii="Times New Roman" w:eastAsia="Georgia" w:hAnsi="Times New Roman" w:cs="Times New Roman"/>
          <w:b/>
          <w:bCs/>
          <w:color w:val="000000"/>
          <w:sz w:val="24"/>
          <w:szCs w:val="24"/>
        </w:rPr>
      </w:pPr>
    </w:p>
    <w:p w14:paraId="3BF51B3E" w14:textId="330D44E7" w:rsidR="00740267" w:rsidRDefault="00740267">
      <w:pPr>
        <w:rPr>
          <w:rFonts w:ascii="Times New Roman" w:eastAsia="Georgia" w:hAnsi="Times New Roman" w:cs="Times New Roman"/>
          <w:b/>
          <w:bCs/>
          <w:color w:val="000000"/>
          <w:sz w:val="24"/>
          <w:szCs w:val="24"/>
        </w:rPr>
      </w:pPr>
      <w:r>
        <w:rPr>
          <w:rFonts w:ascii="Times New Roman" w:eastAsia="Georgia" w:hAnsi="Times New Roman" w:cs="Times New Roman"/>
          <w:b/>
          <w:bCs/>
          <w:color w:val="000000"/>
          <w:sz w:val="24"/>
          <w:szCs w:val="24"/>
        </w:rPr>
        <w:br w:type="page"/>
      </w:r>
    </w:p>
    <w:p w14:paraId="1F193161" w14:textId="77777777" w:rsidR="00E8748C" w:rsidRDefault="00E8748C" w:rsidP="009E520E">
      <w:pPr>
        <w:shd w:val="clear" w:color="auto" w:fill="FFFFFF"/>
        <w:spacing w:after="0"/>
        <w:jc w:val="both"/>
        <w:rPr>
          <w:rFonts w:ascii="Times New Roman" w:eastAsia="Georgia" w:hAnsi="Times New Roman" w:cs="Times New Roman"/>
          <w:b/>
          <w:bCs/>
          <w:color w:val="000000"/>
          <w:sz w:val="24"/>
          <w:szCs w:val="24"/>
        </w:rPr>
      </w:pPr>
    </w:p>
    <w:p w14:paraId="0E5E9C15" w14:textId="30CCCD84" w:rsidR="009E520E" w:rsidRPr="00E8748C" w:rsidRDefault="009E520E" w:rsidP="009E520E">
      <w:pPr>
        <w:shd w:val="clear" w:color="auto" w:fill="FFFFFF"/>
        <w:spacing w:after="0"/>
        <w:jc w:val="both"/>
        <w:rPr>
          <w:rFonts w:ascii="Times New Roman" w:eastAsia="Georgia" w:hAnsi="Times New Roman" w:cs="Times New Roman"/>
          <w:b/>
          <w:bCs/>
          <w:color w:val="000000"/>
          <w:sz w:val="24"/>
          <w:szCs w:val="24"/>
        </w:rPr>
      </w:pPr>
      <w:r w:rsidRPr="00E8748C">
        <w:rPr>
          <w:rFonts w:ascii="Times New Roman" w:eastAsia="Georgia" w:hAnsi="Times New Roman" w:cs="Times New Roman"/>
          <w:b/>
          <w:bCs/>
          <w:color w:val="000000"/>
          <w:sz w:val="24"/>
          <w:szCs w:val="24"/>
        </w:rPr>
        <w:t>Figure 2</w:t>
      </w:r>
      <w:r w:rsidR="00E8748C" w:rsidRPr="00E8748C">
        <w:rPr>
          <w:rFonts w:ascii="Times New Roman" w:eastAsia="Georgia" w:hAnsi="Times New Roman" w:cs="Times New Roman"/>
          <w:b/>
          <w:bCs/>
          <w:color w:val="000000"/>
          <w:sz w:val="24"/>
          <w:szCs w:val="24"/>
        </w:rPr>
        <w:t xml:space="preserve"> </w:t>
      </w:r>
      <w:r w:rsidRPr="00E8748C">
        <w:rPr>
          <w:rFonts w:ascii="Times New Roman" w:eastAsia="Georgia" w:hAnsi="Times New Roman" w:cs="Times New Roman"/>
          <w:b/>
          <w:bCs/>
          <w:color w:val="000000"/>
          <w:sz w:val="24"/>
          <w:szCs w:val="24"/>
        </w:rPr>
        <w:t>Concept Networks in One Person One Social Media Account Discourse</w:t>
      </w:r>
    </w:p>
    <w:p w14:paraId="5E967E36" w14:textId="178AFF2E" w:rsidR="009E520E" w:rsidRDefault="009E520E" w:rsidP="00E8748C">
      <w:pPr>
        <w:shd w:val="clear" w:color="auto" w:fill="FFFFFF"/>
        <w:spacing w:after="0"/>
        <w:jc w:val="center"/>
        <w:rPr>
          <w:rFonts w:ascii="Times New Roman" w:eastAsia="Georgia" w:hAnsi="Times New Roman" w:cs="Times New Roman"/>
          <w:i/>
          <w:iCs/>
          <w:color w:val="000000"/>
          <w:sz w:val="24"/>
          <w:szCs w:val="24"/>
        </w:rPr>
      </w:pPr>
      <w:r w:rsidRPr="00DB0548">
        <w:rPr>
          <w:rFonts w:ascii="Times New Roman" w:eastAsia="Georgia" w:hAnsi="Times New Roman" w:cs="Times New Roman"/>
          <w:noProof/>
          <w:color w:val="000000"/>
          <w:sz w:val="24"/>
          <w:szCs w:val="24"/>
        </w:rPr>
        <w:drawing>
          <wp:inline distT="0" distB="0" distL="0" distR="0" wp14:anchorId="4A6C47ED" wp14:editId="37101C20">
            <wp:extent cx="3554095" cy="2810510"/>
            <wp:effectExtent l="0" t="0" r="8255" b="8890"/>
            <wp:docPr id="18124152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4095" cy="2810510"/>
                    </a:xfrm>
                    <a:prstGeom prst="rect">
                      <a:avLst/>
                    </a:prstGeom>
                    <a:noFill/>
                  </pic:spPr>
                </pic:pic>
              </a:graphicData>
            </a:graphic>
          </wp:inline>
        </w:drawing>
      </w:r>
    </w:p>
    <w:p w14:paraId="619E2A2E" w14:textId="77777777" w:rsidR="009E520E" w:rsidRPr="00DB0548" w:rsidRDefault="009E520E" w:rsidP="00E8748C">
      <w:pPr>
        <w:shd w:val="clear" w:color="auto" w:fill="FFFFFF"/>
        <w:spacing w:after="0"/>
        <w:jc w:val="center"/>
        <w:rPr>
          <w:rFonts w:ascii="Times New Roman" w:eastAsia="Georgia" w:hAnsi="Times New Roman" w:cs="Times New Roman"/>
          <w:color w:val="000000"/>
          <w:sz w:val="24"/>
          <w:szCs w:val="24"/>
        </w:rPr>
      </w:pPr>
      <w:r w:rsidRPr="00DB0548">
        <w:rPr>
          <w:rFonts w:ascii="Times New Roman" w:eastAsia="Georgia" w:hAnsi="Times New Roman" w:cs="Times New Roman"/>
          <w:b/>
          <w:bCs/>
          <w:color w:val="000000"/>
          <w:sz w:val="24"/>
          <w:szCs w:val="24"/>
        </w:rPr>
        <w:t xml:space="preserve">Source: </w:t>
      </w:r>
      <w:r w:rsidRPr="00DB0548">
        <w:rPr>
          <w:rFonts w:ascii="Times New Roman" w:eastAsia="Georgia" w:hAnsi="Times New Roman" w:cs="Times New Roman"/>
          <w:color w:val="000000"/>
          <w:sz w:val="24"/>
          <w:szCs w:val="24"/>
        </w:rPr>
        <w:t>Visone</w:t>
      </w:r>
      <w:r w:rsidRPr="00DB0548">
        <w:rPr>
          <w:rFonts w:ascii="Times New Roman" w:eastAsia="Georgia" w:hAnsi="Times New Roman" w:cs="Times New Roman"/>
          <w:i/>
          <w:iCs/>
          <w:color w:val="000000"/>
          <w:sz w:val="24"/>
          <w:szCs w:val="24"/>
        </w:rPr>
        <w:t xml:space="preserve"> Processed Data</w:t>
      </w:r>
      <w:r w:rsidRPr="00DB0548">
        <w:rPr>
          <w:rFonts w:ascii="Times New Roman" w:eastAsia="Georgia" w:hAnsi="Times New Roman" w:cs="Times New Roman"/>
          <w:color w:val="000000"/>
          <w:sz w:val="24"/>
          <w:szCs w:val="24"/>
        </w:rPr>
        <w:t>, 2025</w:t>
      </w:r>
    </w:p>
    <w:p w14:paraId="6829F09A" w14:textId="77777777" w:rsidR="00E8748C" w:rsidRDefault="00E8748C" w:rsidP="009E520E">
      <w:pPr>
        <w:shd w:val="clear" w:color="auto" w:fill="FFFFFF"/>
        <w:spacing w:after="0"/>
        <w:ind w:firstLine="720"/>
        <w:jc w:val="both"/>
        <w:rPr>
          <w:rFonts w:ascii="Times New Roman" w:eastAsia="Georgia" w:hAnsi="Times New Roman" w:cs="Times New Roman"/>
          <w:color w:val="000000"/>
          <w:sz w:val="24"/>
          <w:szCs w:val="24"/>
        </w:rPr>
      </w:pPr>
    </w:p>
    <w:p w14:paraId="0BC51DA0" w14:textId="4522EEA4" w:rsidR="009E520E" w:rsidRPr="00DB0548" w:rsidRDefault="009E520E" w:rsidP="009E520E">
      <w:pPr>
        <w:shd w:val="clear" w:color="auto" w:fill="FFFFFF"/>
        <w:spacing w:after="0"/>
        <w:ind w:firstLine="72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t xml:space="preserve">From the visualization there are 132 concepts that form several clusters, where the top cluster consists of 74 nodes, with the most numerous and dense relationships between concepts. In the central part, there is a cluster with 20 nodes that make up a moderate network, and to the right is a small cluster with 4 unrelated nodes. At the bottom are 3 small clusters each consisting of 5 nodes, 3 nodes and 3 nodes that are separate from each other. There are 6 small components with 2 interconnected nodes, and 8 isolated concepts. </w:t>
      </w:r>
    </w:p>
    <w:p w14:paraId="240E40B8" w14:textId="77777777" w:rsidR="009E520E" w:rsidRPr="00DB0548" w:rsidRDefault="009E520E" w:rsidP="009E520E">
      <w:pPr>
        <w:shd w:val="clear" w:color="auto" w:fill="FFFFFF"/>
        <w:spacing w:after="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tab/>
        <w:t xml:space="preserve">The concept cluster with the most and dense nodes is the one that supports the One Person One Social Media Account discourse. Some of the concepts in this cluster include, 'Account restrictions prevent account abuse', 'Account restrictions prevent anonymous or fake accounts', and 'Account restrictions prevent hoaxes'. In the middle cluster, the concept of 'Prioritize digital literacy' has the most edges, being the concept with the highest visibility in the cluster of concepts against discourse. Other concepts present in this cluster are 'Account restrictions are ineffective preventing buzzers', and 'Account restrictions cut out positive information'. </w:t>
      </w:r>
    </w:p>
    <w:p w14:paraId="51D59228" w14:textId="3E7B16FF" w:rsidR="009E520E" w:rsidRDefault="009E520E" w:rsidP="009E520E">
      <w:pPr>
        <w:shd w:val="clear" w:color="auto" w:fill="FFFFFF"/>
        <w:spacing w:after="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tab/>
        <w:t xml:space="preserve">Meanwhile, there are a number of concepts that are isolated, or have no relation to other concepts, including 'Account restrictions don't solve the root of the problem', 'Account restrictions need robust infrastructure and systems', and 'Account restrictions are not urgent and irrelevant'. </w:t>
      </w:r>
    </w:p>
    <w:p w14:paraId="132E129A" w14:textId="24881973" w:rsidR="00740267" w:rsidRDefault="00740267">
      <w:pPr>
        <w:rPr>
          <w:rFonts w:ascii="Times New Roman" w:eastAsia="Georgia" w:hAnsi="Times New Roman" w:cs="Times New Roman"/>
          <w:color w:val="000000"/>
          <w:sz w:val="24"/>
          <w:szCs w:val="24"/>
        </w:rPr>
      </w:pPr>
      <w:r>
        <w:rPr>
          <w:rFonts w:ascii="Times New Roman" w:eastAsia="Georgia" w:hAnsi="Times New Roman" w:cs="Times New Roman"/>
          <w:color w:val="000000"/>
          <w:sz w:val="24"/>
          <w:szCs w:val="24"/>
        </w:rPr>
        <w:br w:type="page"/>
      </w:r>
    </w:p>
    <w:p w14:paraId="144527FF" w14:textId="77777777" w:rsidR="00E8748C" w:rsidRPr="00DB0548" w:rsidRDefault="00E8748C" w:rsidP="009E520E">
      <w:pPr>
        <w:shd w:val="clear" w:color="auto" w:fill="FFFFFF"/>
        <w:spacing w:after="0"/>
        <w:jc w:val="both"/>
        <w:rPr>
          <w:rFonts w:ascii="Times New Roman" w:eastAsia="Georgia" w:hAnsi="Times New Roman" w:cs="Times New Roman"/>
          <w:color w:val="000000"/>
          <w:sz w:val="24"/>
          <w:szCs w:val="24"/>
        </w:rPr>
      </w:pPr>
    </w:p>
    <w:p w14:paraId="1B48E7FC" w14:textId="52526860" w:rsidR="009E520E" w:rsidRPr="00E8748C" w:rsidRDefault="009E520E" w:rsidP="00E8748C">
      <w:pPr>
        <w:shd w:val="clear" w:color="auto" w:fill="FFFFFF"/>
        <w:spacing w:after="0"/>
        <w:jc w:val="center"/>
        <w:rPr>
          <w:rFonts w:ascii="Times New Roman" w:eastAsia="Georgia" w:hAnsi="Times New Roman" w:cs="Times New Roman"/>
          <w:b/>
          <w:bCs/>
          <w:color w:val="000000"/>
          <w:sz w:val="24"/>
          <w:szCs w:val="24"/>
        </w:rPr>
      </w:pPr>
      <w:r w:rsidRPr="00E8748C">
        <w:rPr>
          <w:rFonts w:ascii="Times New Roman" w:eastAsia="Georgia" w:hAnsi="Times New Roman" w:cs="Times New Roman"/>
          <w:b/>
          <w:bCs/>
          <w:color w:val="000000"/>
          <w:sz w:val="24"/>
          <w:szCs w:val="24"/>
        </w:rPr>
        <w:t>Table 2. Description of Concept Network Statistics</w:t>
      </w:r>
    </w:p>
    <w:tbl>
      <w:tblPr>
        <w:tblStyle w:val="KisiTabel"/>
        <w:tblW w:w="9082" w:type="dxa"/>
        <w:tblBorders>
          <w:left w:val="none" w:sz="0" w:space="0" w:color="auto"/>
          <w:right w:val="none" w:sz="0" w:space="0" w:color="auto"/>
          <w:insideV w:val="none" w:sz="0" w:space="0" w:color="auto"/>
        </w:tblBorders>
        <w:tblLook w:val="04A0" w:firstRow="1" w:lastRow="0" w:firstColumn="1" w:lastColumn="0" w:noHBand="0" w:noVBand="1"/>
      </w:tblPr>
      <w:tblGrid>
        <w:gridCol w:w="2075"/>
        <w:gridCol w:w="1162"/>
        <w:gridCol w:w="943"/>
        <w:gridCol w:w="1081"/>
        <w:gridCol w:w="1145"/>
        <w:gridCol w:w="1207"/>
        <w:gridCol w:w="1469"/>
      </w:tblGrid>
      <w:tr w:rsidR="009E520E" w:rsidRPr="00DB0548" w14:paraId="39DB9ED9" w14:textId="77777777" w:rsidTr="00740267">
        <w:trPr>
          <w:trHeight w:val="279"/>
        </w:trPr>
        <w:tc>
          <w:tcPr>
            <w:tcW w:w="2075" w:type="dxa"/>
          </w:tcPr>
          <w:p w14:paraId="6D48DA25"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Actor</w:t>
            </w:r>
          </w:p>
        </w:tc>
        <w:tc>
          <w:tcPr>
            <w:tcW w:w="1162" w:type="dxa"/>
          </w:tcPr>
          <w:p w14:paraId="1EE59EDA"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Frequency</w:t>
            </w:r>
          </w:p>
        </w:tc>
        <w:tc>
          <w:tcPr>
            <w:tcW w:w="943" w:type="dxa"/>
          </w:tcPr>
          <w:p w14:paraId="6A0BC9C4"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Degree</w:t>
            </w:r>
          </w:p>
          <w:p w14:paraId="6148435C"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w:t>
            </w:r>
          </w:p>
        </w:tc>
        <w:tc>
          <w:tcPr>
            <w:tcW w:w="1081" w:type="dxa"/>
          </w:tcPr>
          <w:p w14:paraId="2C4D147D"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Indegree</w:t>
            </w:r>
          </w:p>
          <w:p w14:paraId="2417C0C0"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w:t>
            </w:r>
          </w:p>
        </w:tc>
        <w:tc>
          <w:tcPr>
            <w:tcW w:w="1145" w:type="dxa"/>
          </w:tcPr>
          <w:p w14:paraId="3E4A4836"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Closeness (%)</w:t>
            </w:r>
          </w:p>
        </w:tc>
        <w:tc>
          <w:tcPr>
            <w:tcW w:w="1207" w:type="dxa"/>
          </w:tcPr>
          <w:p w14:paraId="42C11DE1"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Outdegree (%)</w:t>
            </w:r>
          </w:p>
        </w:tc>
        <w:tc>
          <w:tcPr>
            <w:tcW w:w="1469" w:type="dxa"/>
          </w:tcPr>
          <w:p w14:paraId="05A4078D"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Betweenness</w:t>
            </w:r>
          </w:p>
          <w:p w14:paraId="00C2524A" w14:textId="77777777" w:rsidR="009E520E" w:rsidRPr="00DB0548" w:rsidRDefault="009E520E" w:rsidP="00185028">
            <w:pPr>
              <w:spacing w:before="36" w:after="36" w:line="276" w:lineRule="auto"/>
              <w:jc w:val="both"/>
              <w:rPr>
                <w:rFonts w:ascii="Times New Roman" w:eastAsia="Cambria" w:hAnsi="Times New Roman" w:cs="Times New Roman"/>
              </w:rPr>
            </w:pPr>
            <w:r w:rsidRPr="00DB0548">
              <w:rPr>
                <w:rFonts w:ascii="Times New Roman" w:eastAsia="Cambria" w:hAnsi="Times New Roman" w:cs="Times New Roman"/>
              </w:rPr>
              <w:t>(%)</w:t>
            </w:r>
          </w:p>
        </w:tc>
      </w:tr>
      <w:tr w:rsidR="009E520E" w:rsidRPr="00DB0548" w14:paraId="447F652C" w14:textId="77777777" w:rsidTr="00740267">
        <w:trPr>
          <w:trHeight w:val="501"/>
        </w:trPr>
        <w:tc>
          <w:tcPr>
            <w:tcW w:w="2075" w:type="dxa"/>
          </w:tcPr>
          <w:p w14:paraId="3969CCFD"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Account restrictions prevent anonymous or fake accounts</w:t>
            </w:r>
          </w:p>
          <w:p w14:paraId="2AE9E944" w14:textId="77777777" w:rsidR="009E520E" w:rsidRPr="00DB0548" w:rsidRDefault="009E520E" w:rsidP="00185028">
            <w:pPr>
              <w:spacing w:after="36" w:line="276" w:lineRule="auto"/>
              <w:jc w:val="both"/>
              <w:rPr>
                <w:rFonts w:ascii="Times New Roman" w:eastAsia="Cambria" w:hAnsi="Times New Roman" w:cs="Times New Roman"/>
              </w:rPr>
            </w:pPr>
          </w:p>
        </w:tc>
        <w:tc>
          <w:tcPr>
            <w:tcW w:w="1162" w:type="dxa"/>
          </w:tcPr>
          <w:p w14:paraId="6AA6A9FF"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10</w:t>
            </w:r>
          </w:p>
        </w:tc>
        <w:tc>
          <w:tcPr>
            <w:tcW w:w="943" w:type="dxa"/>
          </w:tcPr>
          <w:p w14:paraId="16D482BE"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3,59</w:t>
            </w:r>
          </w:p>
        </w:tc>
        <w:tc>
          <w:tcPr>
            <w:tcW w:w="1081" w:type="dxa"/>
          </w:tcPr>
          <w:p w14:paraId="71A86419"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3,59</w:t>
            </w:r>
          </w:p>
        </w:tc>
        <w:tc>
          <w:tcPr>
            <w:tcW w:w="1145" w:type="dxa"/>
          </w:tcPr>
          <w:p w14:paraId="6415124F"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1,67</w:t>
            </w:r>
          </w:p>
        </w:tc>
        <w:tc>
          <w:tcPr>
            <w:tcW w:w="1207" w:type="dxa"/>
          </w:tcPr>
          <w:p w14:paraId="176C4B06"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3,59</w:t>
            </w:r>
          </w:p>
        </w:tc>
        <w:tc>
          <w:tcPr>
            <w:tcW w:w="1469" w:type="dxa"/>
          </w:tcPr>
          <w:p w14:paraId="3086F55B"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19,40</w:t>
            </w:r>
          </w:p>
        </w:tc>
      </w:tr>
      <w:tr w:rsidR="009E520E" w:rsidRPr="00DB0548" w14:paraId="253188D7" w14:textId="77777777" w:rsidTr="00740267">
        <w:trPr>
          <w:trHeight w:val="386"/>
        </w:trPr>
        <w:tc>
          <w:tcPr>
            <w:tcW w:w="2075" w:type="dxa"/>
          </w:tcPr>
          <w:p w14:paraId="66591CE7"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Account restrictions prevent hoaxes</w:t>
            </w:r>
          </w:p>
          <w:p w14:paraId="03B6B48C" w14:textId="77777777" w:rsidR="009E520E" w:rsidRPr="00DB0548" w:rsidRDefault="009E520E" w:rsidP="00185028">
            <w:pPr>
              <w:spacing w:after="36" w:line="276" w:lineRule="auto"/>
              <w:jc w:val="both"/>
              <w:rPr>
                <w:rFonts w:ascii="Times New Roman" w:eastAsia="Cambria" w:hAnsi="Times New Roman" w:cs="Times New Roman"/>
              </w:rPr>
            </w:pPr>
          </w:p>
        </w:tc>
        <w:tc>
          <w:tcPr>
            <w:tcW w:w="1162" w:type="dxa"/>
          </w:tcPr>
          <w:p w14:paraId="1338FE2F"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5</w:t>
            </w:r>
          </w:p>
        </w:tc>
        <w:tc>
          <w:tcPr>
            <w:tcW w:w="943" w:type="dxa"/>
          </w:tcPr>
          <w:p w14:paraId="0C7C01B5"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3,13</w:t>
            </w:r>
          </w:p>
        </w:tc>
        <w:tc>
          <w:tcPr>
            <w:tcW w:w="1081" w:type="dxa"/>
          </w:tcPr>
          <w:p w14:paraId="0C5A2BD0"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3,13</w:t>
            </w:r>
          </w:p>
        </w:tc>
        <w:tc>
          <w:tcPr>
            <w:tcW w:w="1145" w:type="dxa"/>
          </w:tcPr>
          <w:p w14:paraId="7A4F80BC"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1,64</w:t>
            </w:r>
          </w:p>
        </w:tc>
        <w:tc>
          <w:tcPr>
            <w:tcW w:w="1207" w:type="dxa"/>
          </w:tcPr>
          <w:p w14:paraId="570A92A6"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3,13</w:t>
            </w:r>
          </w:p>
        </w:tc>
        <w:tc>
          <w:tcPr>
            <w:tcW w:w="1469" w:type="dxa"/>
          </w:tcPr>
          <w:p w14:paraId="4BA8C8F0"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18,16</w:t>
            </w:r>
          </w:p>
        </w:tc>
      </w:tr>
      <w:tr w:rsidR="009E520E" w:rsidRPr="00DB0548" w14:paraId="4CD91D68" w14:textId="77777777" w:rsidTr="00740267">
        <w:trPr>
          <w:trHeight w:val="501"/>
        </w:trPr>
        <w:tc>
          <w:tcPr>
            <w:tcW w:w="2075" w:type="dxa"/>
          </w:tcPr>
          <w:p w14:paraId="785B57ED"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Account restrictions prevent fraud and hoax spread</w:t>
            </w:r>
          </w:p>
          <w:p w14:paraId="6349054C" w14:textId="77777777" w:rsidR="009E520E" w:rsidRPr="00DB0548" w:rsidRDefault="009E520E" w:rsidP="00185028">
            <w:pPr>
              <w:spacing w:after="36" w:line="276" w:lineRule="auto"/>
              <w:jc w:val="both"/>
              <w:rPr>
                <w:rFonts w:ascii="Times New Roman" w:eastAsia="Cambria" w:hAnsi="Times New Roman" w:cs="Times New Roman"/>
              </w:rPr>
            </w:pPr>
          </w:p>
        </w:tc>
        <w:tc>
          <w:tcPr>
            <w:tcW w:w="1162" w:type="dxa"/>
          </w:tcPr>
          <w:p w14:paraId="035D2B86"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6</w:t>
            </w:r>
          </w:p>
        </w:tc>
        <w:tc>
          <w:tcPr>
            <w:tcW w:w="943" w:type="dxa"/>
          </w:tcPr>
          <w:p w14:paraId="285B7146"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2,75</w:t>
            </w:r>
          </w:p>
        </w:tc>
        <w:tc>
          <w:tcPr>
            <w:tcW w:w="1081" w:type="dxa"/>
          </w:tcPr>
          <w:p w14:paraId="571549BE"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2,75</w:t>
            </w:r>
          </w:p>
        </w:tc>
        <w:tc>
          <w:tcPr>
            <w:tcW w:w="1145" w:type="dxa"/>
          </w:tcPr>
          <w:p w14:paraId="66BAEA84"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1,52</w:t>
            </w:r>
          </w:p>
        </w:tc>
        <w:tc>
          <w:tcPr>
            <w:tcW w:w="1207" w:type="dxa"/>
          </w:tcPr>
          <w:p w14:paraId="2BC3CAC2"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2,75</w:t>
            </w:r>
          </w:p>
        </w:tc>
        <w:tc>
          <w:tcPr>
            <w:tcW w:w="1469" w:type="dxa"/>
          </w:tcPr>
          <w:p w14:paraId="1146312C"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10,88</w:t>
            </w:r>
          </w:p>
        </w:tc>
      </w:tr>
      <w:tr w:rsidR="009E520E" w:rsidRPr="00DB0548" w14:paraId="1C4F6ADB" w14:textId="77777777" w:rsidTr="00740267">
        <w:trPr>
          <w:trHeight w:val="263"/>
        </w:trPr>
        <w:tc>
          <w:tcPr>
            <w:tcW w:w="2075" w:type="dxa"/>
          </w:tcPr>
          <w:p w14:paraId="4049F001"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Prioritize Digital Literacy</w:t>
            </w:r>
          </w:p>
        </w:tc>
        <w:tc>
          <w:tcPr>
            <w:tcW w:w="1162" w:type="dxa"/>
          </w:tcPr>
          <w:p w14:paraId="6F892C4E"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5</w:t>
            </w:r>
          </w:p>
        </w:tc>
        <w:tc>
          <w:tcPr>
            <w:tcW w:w="943" w:type="dxa"/>
          </w:tcPr>
          <w:p w14:paraId="7C759349"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1,07</w:t>
            </w:r>
          </w:p>
        </w:tc>
        <w:tc>
          <w:tcPr>
            <w:tcW w:w="1081" w:type="dxa"/>
          </w:tcPr>
          <w:p w14:paraId="45A0478A"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1,07</w:t>
            </w:r>
          </w:p>
        </w:tc>
        <w:tc>
          <w:tcPr>
            <w:tcW w:w="1145" w:type="dxa"/>
          </w:tcPr>
          <w:p w14:paraId="30E541E4"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0,47</w:t>
            </w:r>
          </w:p>
        </w:tc>
        <w:tc>
          <w:tcPr>
            <w:tcW w:w="1207" w:type="dxa"/>
          </w:tcPr>
          <w:p w14:paraId="661D899D"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1,07</w:t>
            </w:r>
          </w:p>
        </w:tc>
        <w:tc>
          <w:tcPr>
            <w:tcW w:w="1469" w:type="dxa"/>
          </w:tcPr>
          <w:p w14:paraId="1635384F"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1,84</w:t>
            </w:r>
          </w:p>
          <w:p w14:paraId="12BDF43C" w14:textId="77777777" w:rsidR="009E520E" w:rsidRPr="00DB0548" w:rsidRDefault="009E520E" w:rsidP="00185028">
            <w:pPr>
              <w:spacing w:after="36" w:line="276" w:lineRule="auto"/>
              <w:jc w:val="both"/>
              <w:rPr>
                <w:rFonts w:ascii="Times New Roman" w:eastAsia="Cambria" w:hAnsi="Times New Roman" w:cs="Times New Roman"/>
              </w:rPr>
            </w:pPr>
          </w:p>
        </w:tc>
      </w:tr>
      <w:tr w:rsidR="009E520E" w:rsidRPr="00DB0548" w14:paraId="1047CF28" w14:textId="77777777" w:rsidTr="00740267">
        <w:trPr>
          <w:trHeight w:val="131"/>
        </w:trPr>
        <w:tc>
          <w:tcPr>
            <w:tcW w:w="2075" w:type="dxa"/>
          </w:tcPr>
          <w:p w14:paraId="2DC30ADB" w14:textId="77777777" w:rsidR="009E520E" w:rsidRPr="00DB0548" w:rsidRDefault="009E520E" w:rsidP="00185028">
            <w:pPr>
              <w:spacing w:after="36" w:line="276" w:lineRule="auto"/>
              <w:jc w:val="both"/>
              <w:rPr>
                <w:rFonts w:ascii="Times New Roman" w:eastAsia="Cambria" w:hAnsi="Times New Roman" w:cs="Times New Roman"/>
              </w:rPr>
            </w:pPr>
          </w:p>
        </w:tc>
        <w:tc>
          <w:tcPr>
            <w:tcW w:w="1162" w:type="dxa"/>
          </w:tcPr>
          <w:p w14:paraId="2E844F59" w14:textId="77777777" w:rsidR="009E520E" w:rsidRPr="00DB0548" w:rsidRDefault="009E520E" w:rsidP="00185028">
            <w:pPr>
              <w:spacing w:after="36" w:line="276" w:lineRule="auto"/>
              <w:jc w:val="both"/>
              <w:rPr>
                <w:rFonts w:ascii="Times New Roman" w:eastAsia="Cambria" w:hAnsi="Times New Roman" w:cs="Times New Roman"/>
              </w:rPr>
            </w:pPr>
          </w:p>
        </w:tc>
        <w:tc>
          <w:tcPr>
            <w:tcW w:w="943" w:type="dxa"/>
          </w:tcPr>
          <w:p w14:paraId="24E4D05E" w14:textId="77777777" w:rsidR="009E520E" w:rsidRPr="00DB0548" w:rsidRDefault="009E520E" w:rsidP="00185028">
            <w:pPr>
              <w:spacing w:after="36" w:line="276" w:lineRule="auto"/>
              <w:jc w:val="both"/>
              <w:rPr>
                <w:rFonts w:ascii="Times New Roman" w:eastAsia="Cambria" w:hAnsi="Times New Roman" w:cs="Times New Roman"/>
              </w:rPr>
            </w:pPr>
          </w:p>
        </w:tc>
        <w:tc>
          <w:tcPr>
            <w:tcW w:w="1081" w:type="dxa"/>
          </w:tcPr>
          <w:p w14:paraId="791A611D" w14:textId="77777777" w:rsidR="009E520E" w:rsidRPr="00DB0548" w:rsidRDefault="009E520E" w:rsidP="00185028">
            <w:pPr>
              <w:spacing w:after="36" w:line="276" w:lineRule="auto"/>
              <w:jc w:val="both"/>
              <w:rPr>
                <w:rFonts w:ascii="Times New Roman" w:eastAsia="Cambria" w:hAnsi="Times New Roman" w:cs="Times New Roman"/>
              </w:rPr>
            </w:pPr>
          </w:p>
        </w:tc>
        <w:tc>
          <w:tcPr>
            <w:tcW w:w="1145" w:type="dxa"/>
          </w:tcPr>
          <w:p w14:paraId="040C93DE" w14:textId="77777777" w:rsidR="009E520E" w:rsidRPr="00DB0548" w:rsidRDefault="009E520E" w:rsidP="00185028">
            <w:pPr>
              <w:spacing w:after="36" w:line="276" w:lineRule="auto"/>
              <w:jc w:val="both"/>
              <w:rPr>
                <w:rFonts w:ascii="Times New Roman" w:eastAsia="Cambria" w:hAnsi="Times New Roman" w:cs="Times New Roman"/>
              </w:rPr>
            </w:pPr>
          </w:p>
        </w:tc>
        <w:tc>
          <w:tcPr>
            <w:tcW w:w="1207" w:type="dxa"/>
          </w:tcPr>
          <w:p w14:paraId="719168B6" w14:textId="77777777" w:rsidR="009E520E" w:rsidRPr="00DB0548" w:rsidRDefault="009E520E" w:rsidP="00185028">
            <w:pPr>
              <w:spacing w:after="36" w:line="276" w:lineRule="auto"/>
              <w:jc w:val="both"/>
              <w:rPr>
                <w:rFonts w:ascii="Times New Roman" w:eastAsia="Cambria" w:hAnsi="Times New Roman" w:cs="Times New Roman"/>
              </w:rPr>
            </w:pPr>
          </w:p>
        </w:tc>
        <w:tc>
          <w:tcPr>
            <w:tcW w:w="1469" w:type="dxa"/>
          </w:tcPr>
          <w:p w14:paraId="726B0FBE" w14:textId="77777777" w:rsidR="009E520E" w:rsidRPr="00DB0548" w:rsidRDefault="009E520E" w:rsidP="00185028">
            <w:pPr>
              <w:spacing w:after="36" w:line="276" w:lineRule="auto"/>
              <w:jc w:val="both"/>
              <w:rPr>
                <w:rFonts w:ascii="Times New Roman" w:eastAsia="Cambria" w:hAnsi="Times New Roman" w:cs="Times New Roman"/>
              </w:rPr>
            </w:pPr>
          </w:p>
        </w:tc>
      </w:tr>
      <w:tr w:rsidR="009E520E" w:rsidRPr="00DB0548" w14:paraId="65A57FA2" w14:textId="77777777" w:rsidTr="00740267">
        <w:trPr>
          <w:trHeight w:val="370"/>
        </w:trPr>
        <w:tc>
          <w:tcPr>
            <w:tcW w:w="2075" w:type="dxa"/>
          </w:tcPr>
          <w:p w14:paraId="2DE2F0FF"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Account restrictions are non-urgent and irrelevant</w:t>
            </w:r>
          </w:p>
        </w:tc>
        <w:tc>
          <w:tcPr>
            <w:tcW w:w="1162" w:type="dxa"/>
          </w:tcPr>
          <w:p w14:paraId="76443AB4"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1</w:t>
            </w:r>
          </w:p>
        </w:tc>
        <w:tc>
          <w:tcPr>
            <w:tcW w:w="943" w:type="dxa"/>
          </w:tcPr>
          <w:p w14:paraId="328D03F4"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081" w:type="dxa"/>
          </w:tcPr>
          <w:p w14:paraId="66DD6528"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145" w:type="dxa"/>
          </w:tcPr>
          <w:p w14:paraId="567E8E3D"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207" w:type="dxa"/>
          </w:tcPr>
          <w:p w14:paraId="5023AAC7"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c>
          <w:tcPr>
            <w:tcW w:w="1469" w:type="dxa"/>
          </w:tcPr>
          <w:p w14:paraId="035B6E5C" w14:textId="77777777" w:rsidR="009E520E" w:rsidRPr="00DB0548" w:rsidRDefault="009E520E" w:rsidP="00185028">
            <w:pPr>
              <w:spacing w:after="36" w:line="276" w:lineRule="auto"/>
              <w:jc w:val="both"/>
              <w:rPr>
                <w:rFonts w:ascii="Times New Roman" w:eastAsia="Cambria" w:hAnsi="Times New Roman" w:cs="Times New Roman"/>
              </w:rPr>
            </w:pPr>
            <w:r w:rsidRPr="00DB0548">
              <w:rPr>
                <w:rFonts w:ascii="Times New Roman" w:eastAsia="Cambria" w:hAnsi="Times New Roman" w:cs="Times New Roman"/>
              </w:rPr>
              <w:t>0</w:t>
            </w:r>
          </w:p>
        </w:tc>
      </w:tr>
    </w:tbl>
    <w:p w14:paraId="0A8F790B" w14:textId="77777777" w:rsidR="00991483" w:rsidRPr="00DB0548" w:rsidRDefault="00991483" w:rsidP="00E8748C">
      <w:pPr>
        <w:shd w:val="clear" w:color="auto" w:fill="FFFFFF"/>
        <w:spacing w:after="0"/>
        <w:jc w:val="center"/>
        <w:rPr>
          <w:rFonts w:ascii="Times New Roman" w:eastAsia="Georgia" w:hAnsi="Times New Roman" w:cs="Times New Roman"/>
          <w:color w:val="000000"/>
          <w:sz w:val="24"/>
          <w:szCs w:val="24"/>
        </w:rPr>
      </w:pPr>
      <w:r w:rsidRPr="00DB0548">
        <w:rPr>
          <w:rFonts w:ascii="Times New Roman" w:eastAsia="Georgia" w:hAnsi="Times New Roman" w:cs="Times New Roman"/>
          <w:b/>
          <w:bCs/>
          <w:color w:val="000000"/>
          <w:sz w:val="24"/>
          <w:szCs w:val="24"/>
        </w:rPr>
        <w:t xml:space="preserve">Source: </w:t>
      </w:r>
      <w:r w:rsidRPr="00DB0548">
        <w:rPr>
          <w:rFonts w:ascii="Times New Roman" w:eastAsia="Georgia" w:hAnsi="Times New Roman" w:cs="Times New Roman"/>
          <w:i/>
          <w:iCs/>
          <w:color w:val="000000"/>
          <w:sz w:val="24"/>
          <w:szCs w:val="24"/>
        </w:rPr>
        <w:t>Visone Processed Data, 2025</w:t>
      </w:r>
    </w:p>
    <w:p w14:paraId="45D4BCA6" w14:textId="77777777" w:rsidR="00E8748C" w:rsidRDefault="00E8748C" w:rsidP="00991483">
      <w:pPr>
        <w:shd w:val="clear" w:color="auto" w:fill="FFFFFF"/>
        <w:spacing w:after="0"/>
        <w:ind w:firstLine="720"/>
        <w:jc w:val="both"/>
        <w:rPr>
          <w:rFonts w:ascii="Times New Roman" w:eastAsia="Georgia" w:hAnsi="Times New Roman" w:cs="Times New Roman"/>
          <w:color w:val="000000"/>
          <w:sz w:val="24"/>
          <w:szCs w:val="24"/>
        </w:rPr>
      </w:pPr>
    </w:p>
    <w:p w14:paraId="414FFD5B" w14:textId="76EF523C" w:rsidR="00F52C62" w:rsidRPr="00F52C62" w:rsidRDefault="00F52C62" w:rsidP="00F52C62">
      <w:pPr>
        <w:shd w:val="clear" w:color="auto" w:fill="FFFFFF"/>
        <w:spacing w:after="0"/>
        <w:ind w:firstLine="720"/>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The data from the table show that the concept “Account restriction prevents anonymous or fake accounts” appears most frequently, with a total of 10 occurrences. This concept also demonstrates the highest degree centrality, indicating that it is the most popular concept and has the strongest connections with other concepts. It also records the highest closeness centrality and betweenness centrality values—1.67% and 19.40%, respectively. This suggests that the concept has the closest proximity to other concepts and serves as the most interconnected node within the conceptual cluster supporting the “One Person One Social Media Account” discourse.</w:t>
      </w:r>
    </w:p>
    <w:p w14:paraId="79F843CB" w14:textId="30CE5713" w:rsidR="00F52C62" w:rsidRPr="00F52C62" w:rsidRDefault="00F52C62" w:rsidP="00F52C62">
      <w:pPr>
        <w:shd w:val="clear" w:color="auto" w:fill="FFFFFF"/>
        <w:spacing w:after="0"/>
        <w:ind w:firstLine="720"/>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The concept “Account restriction prevents hoaxes” has a degree centrality of 3.13%, closeness of 1.64%, and betweenness of 18.16%, making it the second most frequently appearing concept. It also demonstrates relatively high levels of proximity and connectivity, reinforcing its importance within the pro-policy discourse network.</w:t>
      </w:r>
    </w:p>
    <w:p w14:paraId="75E0BA29" w14:textId="748BC340" w:rsidR="00F52C62" w:rsidRPr="00F52C62" w:rsidRDefault="00F52C62" w:rsidP="00F52C62">
      <w:pPr>
        <w:shd w:val="clear" w:color="auto" w:fill="FFFFFF"/>
        <w:spacing w:after="0"/>
        <w:ind w:firstLine="720"/>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In contrast, the concept “Prioritize digital literacy” is the most frequent counter-concept, appearing five times. However, it presents relatively low levels of degree centrality, closeness, and betweenness, at 1.07%, 0.47%, and 1.84%, respectively. Within the counter-discourse cluster, the concept “Account restrictions are not effective in preventing buzzers” emerges as the most central concept, with respective degree, closeness, and betweenness values of 1.22%, 0.52%, and 2.45%. This indicates that it has the strongest relationships with other concepts within the cluster, as well as a relatively higher degree of proximity and interconnection.</w:t>
      </w:r>
    </w:p>
    <w:p w14:paraId="030545C1" w14:textId="57DDD6F1" w:rsidR="00F52C62" w:rsidRPr="00F52C62" w:rsidRDefault="00F52C62" w:rsidP="00F52C62">
      <w:pPr>
        <w:shd w:val="clear" w:color="auto" w:fill="FFFFFF"/>
        <w:spacing w:after="0"/>
        <w:ind w:firstLine="720"/>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 xml:space="preserve">In addition, a number of concepts are classified as “neutral,” forming small clusters consisting of four to five nodes. These include “Implementation of rules must be careful,” </w:t>
      </w:r>
      <w:r w:rsidRPr="00F52C62">
        <w:rPr>
          <w:rFonts w:ascii="Times New Roman" w:eastAsia="Georgia" w:hAnsi="Times New Roman" w:cs="Times New Roman"/>
          <w:color w:val="000000"/>
          <w:sz w:val="24"/>
          <w:szCs w:val="24"/>
        </w:rPr>
        <w:lastRenderedPageBreak/>
        <w:t>“Discussion of rules through a common forum,” as well as statements from technology companies such as “Companies have their own rules” and “Companies prohibit double accounts.” There are also isolated concepts, such as “Account restrictions are not urgent and irrelevant” and “Account restrictions do not solve the root of the problem.”</w:t>
      </w:r>
    </w:p>
    <w:p w14:paraId="5C2CD742" w14:textId="62865E55" w:rsidR="00991483" w:rsidRPr="00DB0548" w:rsidRDefault="00F52C62" w:rsidP="00F52C62">
      <w:pPr>
        <w:shd w:val="clear" w:color="auto" w:fill="FFFFFF"/>
        <w:spacing w:after="0"/>
        <w:ind w:firstLine="720"/>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This conceptual network reveals that pro-policy concepts within the “One Person One Social Media Account” discourse—particularly “Account restriction prevents anonymous or fake accounts” and “Account restriction prevents hoaxes”—constitute the dominant narrative. These concepts exhibit high connectivity, indicating that the framing of security and public order has effectively become the key discursive framework in the debate. Meanwhile, counter-concepts such as “Prioritize digital literacy” and “Account restrictions are not effective in preventing buzzers” appear with low centrality values, reflecting a weak coalition of opposing narratives. These counter-discourses, mainly voiced by academic figures, human rights activists, and digital observers, fail to construct a unified and persuasive argument. The presence of several isolated opposition concepts suggests that the diversity of counter-arguments contributes to a fragmented and loosely connected opposition network</w:t>
      </w:r>
      <w:r w:rsidR="00991483" w:rsidRPr="00DB0548">
        <w:rPr>
          <w:rFonts w:ascii="Times New Roman" w:eastAsia="Georgia" w:hAnsi="Times New Roman" w:cs="Times New Roman"/>
          <w:color w:val="000000"/>
          <w:sz w:val="24"/>
          <w:szCs w:val="24"/>
        </w:rPr>
        <w:t xml:space="preserve">. </w:t>
      </w:r>
    </w:p>
    <w:p w14:paraId="7EA4F681" w14:textId="77777777" w:rsidR="00E8748C" w:rsidRDefault="00E8748C" w:rsidP="00E8748C">
      <w:pPr>
        <w:shd w:val="clear" w:color="auto" w:fill="FFFFFF"/>
        <w:spacing w:after="0"/>
        <w:jc w:val="center"/>
        <w:rPr>
          <w:rFonts w:ascii="Times New Roman" w:eastAsia="Georgia" w:hAnsi="Times New Roman" w:cs="Times New Roman"/>
          <w:b/>
          <w:bCs/>
          <w:color w:val="000000"/>
          <w:sz w:val="24"/>
          <w:szCs w:val="24"/>
        </w:rPr>
      </w:pPr>
    </w:p>
    <w:p w14:paraId="3A0FC630" w14:textId="5174887D" w:rsidR="00991483" w:rsidRPr="00E8748C" w:rsidRDefault="00991483" w:rsidP="00E8748C">
      <w:pPr>
        <w:shd w:val="clear" w:color="auto" w:fill="FFFFFF"/>
        <w:spacing w:after="0"/>
        <w:jc w:val="center"/>
        <w:rPr>
          <w:rFonts w:ascii="Times New Roman" w:eastAsia="Georgia" w:hAnsi="Times New Roman" w:cs="Times New Roman"/>
          <w:b/>
          <w:bCs/>
          <w:color w:val="000000"/>
          <w:sz w:val="24"/>
          <w:szCs w:val="24"/>
        </w:rPr>
      </w:pPr>
      <w:r w:rsidRPr="00E8748C">
        <w:rPr>
          <w:rFonts w:ascii="Times New Roman" w:eastAsia="Georgia" w:hAnsi="Times New Roman" w:cs="Times New Roman"/>
          <w:b/>
          <w:bCs/>
          <w:color w:val="000000"/>
          <w:sz w:val="24"/>
          <w:szCs w:val="24"/>
        </w:rPr>
        <w:t xml:space="preserve">Figure 3. </w:t>
      </w:r>
      <w:r w:rsidR="00E8748C" w:rsidRPr="00E8748C">
        <w:rPr>
          <w:rFonts w:ascii="Times New Roman" w:eastAsia="Georgia" w:hAnsi="Times New Roman" w:cs="Times New Roman"/>
          <w:b/>
          <w:bCs/>
          <w:color w:val="000000"/>
          <w:sz w:val="24"/>
          <w:szCs w:val="24"/>
        </w:rPr>
        <w:t xml:space="preserve"> </w:t>
      </w:r>
      <w:r w:rsidRPr="00E8748C">
        <w:rPr>
          <w:rFonts w:ascii="Times New Roman" w:eastAsia="Georgia" w:hAnsi="Times New Roman" w:cs="Times New Roman"/>
          <w:b/>
          <w:bCs/>
          <w:color w:val="000000"/>
          <w:sz w:val="24"/>
          <w:szCs w:val="24"/>
        </w:rPr>
        <w:t>Affiliate Networks (Actor-Concepts) in the Discourse of One Person One Social Media Account</w:t>
      </w:r>
    </w:p>
    <w:p w14:paraId="0A32EAD2" w14:textId="1C19E06F" w:rsidR="00991483" w:rsidRPr="00DB0548" w:rsidRDefault="00991483" w:rsidP="00E8748C">
      <w:pPr>
        <w:shd w:val="clear" w:color="auto" w:fill="FFFFFF"/>
        <w:spacing w:after="0"/>
        <w:jc w:val="center"/>
        <w:rPr>
          <w:rFonts w:ascii="Times New Roman" w:eastAsia="Georgia" w:hAnsi="Times New Roman" w:cs="Times New Roman"/>
          <w:color w:val="000000"/>
          <w:sz w:val="24"/>
          <w:szCs w:val="24"/>
        </w:rPr>
      </w:pPr>
      <w:r w:rsidRPr="00DB0548">
        <w:rPr>
          <w:rFonts w:ascii="Times New Roman" w:eastAsia="Georgia" w:hAnsi="Times New Roman" w:cs="Times New Roman"/>
          <w:noProof/>
          <w:color w:val="000000"/>
          <w:sz w:val="24"/>
          <w:szCs w:val="24"/>
        </w:rPr>
        <w:drawing>
          <wp:inline distT="0" distB="0" distL="0" distR="0" wp14:anchorId="27C3D2CD" wp14:editId="1E7AB919">
            <wp:extent cx="3103245" cy="2761615"/>
            <wp:effectExtent l="0" t="0" r="1905" b="635"/>
            <wp:docPr id="19891570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3245" cy="2761615"/>
                    </a:xfrm>
                    <a:prstGeom prst="rect">
                      <a:avLst/>
                    </a:prstGeom>
                    <a:noFill/>
                  </pic:spPr>
                </pic:pic>
              </a:graphicData>
            </a:graphic>
          </wp:inline>
        </w:drawing>
      </w:r>
    </w:p>
    <w:p w14:paraId="1A1EB122" w14:textId="77777777" w:rsidR="009E520E" w:rsidRPr="00DB0548" w:rsidRDefault="009E520E" w:rsidP="00991483">
      <w:pPr>
        <w:shd w:val="clear" w:color="auto" w:fill="FFFFFF"/>
        <w:spacing w:after="0"/>
        <w:jc w:val="both"/>
        <w:rPr>
          <w:rFonts w:ascii="Times New Roman" w:eastAsia="Georgia" w:hAnsi="Times New Roman" w:cs="Times New Roman"/>
          <w:i/>
          <w:iCs/>
          <w:color w:val="000000"/>
          <w:sz w:val="24"/>
          <w:szCs w:val="24"/>
        </w:rPr>
      </w:pPr>
    </w:p>
    <w:p w14:paraId="49E23778" w14:textId="77777777" w:rsidR="00991483" w:rsidRPr="00DB0548" w:rsidRDefault="00991483" w:rsidP="00991483">
      <w:pPr>
        <w:shd w:val="clear" w:color="auto" w:fill="FFFFFF"/>
        <w:spacing w:after="0"/>
        <w:jc w:val="both"/>
        <w:rPr>
          <w:rFonts w:ascii="Times New Roman" w:eastAsia="Georgia" w:hAnsi="Times New Roman" w:cs="Times New Roman"/>
          <w:color w:val="000000"/>
          <w:sz w:val="24"/>
          <w:szCs w:val="24"/>
        </w:rPr>
      </w:pPr>
      <w:r w:rsidRPr="00DB0548">
        <w:rPr>
          <w:rFonts w:ascii="Times New Roman" w:eastAsia="Georgia" w:hAnsi="Times New Roman" w:cs="Times New Roman"/>
          <w:b/>
          <w:bCs/>
          <w:color w:val="000000"/>
          <w:sz w:val="24"/>
          <w:szCs w:val="24"/>
        </w:rPr>
        <w:t xml:space="preserve">Source: </w:t>
      </w:r>
      <w:r w:rsidRPr="00DB0548">
        <w:rPr>
          <w:rFonts w:ascii="Times New Roman" w:eastAsia="Georgia" w:hAnsi="Times New Roman" w:cs="Times New Roman"/>
          <w:color w:val="000000"/>
          <w:sz w:val="24"/>
          <w:szCs w:val="24"/>
        </w:rPr>
        <w:t>Visone</w:t>
      </w:r>
      <w:r w:rsidRPr="00DB0548">
        <w:rPr>
          <w:rFonts w:ascii="Times New Roman" w:eastAsia="Georgia" w:hAnsi="Times New Roman" w:cs="Times New Roman"/>
          <w:i/>
          <w:iCs/>
          <w:color w:val="000000"/>
          <w:sz w:val="24"/>
          <w:szCs w:val="24"/>
        </w:rPr>
        <w:t xml:space="preserve"> Processed Data</w:t>
      </w:r>
      <w:r w:rsidRPr="00DB0548">
        <w:rPr>
          <w:rFonts w:ascii="Times New Roman" w:eastAsia="Georgia" w:hAnsi="Times New Roman" w:cs="Times New Roman"/>
          <w:color w:val="000000"/>
          <w:sz w:val="24"/>
          <w:szCs w:val="24"/>
        </w:rPr>
        <w:t>, 2025</w:t>
      </w:r>
    </w:p>
    <w:p w14:paraId="0676DF6C" w14:textId="77777777" w:rsidR="00991483" w:rsidRPr="00DB0548" w:rsidRDefault="00991483" w:rsidP="00991483">
      <w:pPr>
        <w:shd w:val="clear" w:color="auto" w:fill="FFFFFF"/>
        <w:spacing w:after="0"/>
        <w:ind w:firstLine="72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t>Affiliate networks describe the relationship between actors and concepts. The visualization of the affiliate network consists of two nodes, namely the round shape (actor), and the square shape (concept). From this visualization, it appears that actors Oleh Soleh (DPR), Bambang Haryadi (DPR), Mohammad Qodari (Government Spokesperson), and Ismail (</w:t>
      </w:r>
      <w:proofErr w:type="spellStart"/>
      <w:r w:rsidRPr="00DB0548">
        <w:rPr>
          <w:rFonts w:ascii="Times New Roman" w:eastAsia="Georgia" w:hAnsi="Times New Roman" w:cs="Times New Roman"/>
          <w:color w:val="000000"/>
          <w:sz w:val="24"/>
          <w:szCs w:val="24"/>
        </w:rPr>
        <w:t>Komdigi</w:t>
      </w:r>
      <w:proofErr w:type="spellEnd"/>
      <w:r w:rsidRPr="00DB0548">
        <w:rPr>
          <w:rFonts w:ascii="Times New Roman" w:eastAsia="Georgia" w:hAnsi="Times New Roman" w:cs="Times New Roman"/>
          <w:color w:val="000000"/>
          <w:sz w:val="24"/>
          <w:szCs w:val="24"/>
        </w:rPr>
        <w:t>) who are pro to the issue of One Person One Social Media Account, are interconnected with the concepts of 'Account restrictions prevent anonymous or fake accounts' and 'Account restrictions prevent account abuse'. Other actors, Nezar Patria (</w:t>
      </w:r>
      <w:proofErr w:type="spellStart"/>
      <w:r w:rsidRPr="00DB0548">
        <w:rPr>
          <w:rFonts w:ascii="Times New Roman" w:eastAsia="Georgia" w:hAnsi="Times New Roman" w:cs="Times New Roman"/>
          <w:color w:val="000000"/>
          <w:sz w:val="24"/>
          <w:szCs w:val="24"/>
        </w:rPr>
        <w:t>Komdigi</w:t>
      </w:r>
      <w:proofErr w:type="spellEnd"/>
      <w:r w:rsidRPr="00DB0548">
        <w:rPr>
          <w:rFonts w:ascii="Times New Roman" w:eastAsia="Georgia" w:hAnsi="Times New Roman" w:cs="Times New Roman"/>
          <w:color w:val="000000"/>
          <w:sz w:val="24"/>
          <w:szCs w:val="24"/>
        </w:rPr>
        <w:t xml:space="preserve">), </w:t>
      </w:r>
      <w:proofErr w:type="spellStart"/>
      <w:r w:rsidRPr="00DB0548">
        <w:rPr>
          <w:rFonts w:ascii="Times New Roman" w:eastAsia="Georgia" w:hAnsi="Times New Roman" w:cs="Times New Roman"/>
          <w:color w:val="000000"/>
          <w:sz w:val="24"/>
          <w:szCs w:val="24"/>
        </w:rPr>
        <w:t>Junico</w:t>
      </w:r>
      <w:proofErr w:type="spellEnd"/>
      <w:r w:rsidRPr="00DB0548">
        <w:rPr>
          <w:rFonts w:ascii="Times New Roman" w:eastAsia="Georgia" w:hAnsi="Times New Roman" w:cs="Times New Roman"/>
          <w:color w:val="000000"/>
          <w:sz w:val="24"/>
          <w:szCs w:val="24"/>
        </w:rPr>
        <w:t xml:space="preserve"> Siahaan (DPR), and Oleh Soleh (DPR), are interconnected with the concepts of 'Account restrictions minimize illegal content', and 'Account restrictions control hoaxes and disinformation'. Meanwhile, actors Mardani Ali Sera (DPR) and Alfons </w:t>
      </w:r>
      <w:proofErr w:type="spellStart"/>
      <w:r w:rsidRPr="00DB0548">
        <w:rPr>
          <w:rFonts w:ascii="Times New Roman" w:eastAsia="Georgia" w:hAnsi="Times New Roman" w:cs="Times New Roman"/>
          <w:color w:val="000000"/>
          <w:sz w:val="24"/>
          <w:szCs w:val="24"/>
        </w:rPr>
        <w:t>Tanujaya</w:t>
      </w:r>
      <w:proofErr w:type="spellEnd"/>
      <w:r w:rsidRPr="00DB0548">
        <w:rPr>
          <w:rFonts w:ascii="Times New Roman" w:eastAsia="Georgia" w:hAnsi="Times New Roman" w:cs="Times New Roman"/>
          <w:color w:val="000000"/>
          <w:sz w:val="24"/>
          <w:szCs w:val="24"/>
        </w:rPr>
        <w:t xml:space="preserve"> (digital observer) are interconnected with the concept of 'Account restrictions to prevent buzzers'.</w:t>
      </w:r>
    </w:p>
    <w:p w14:paraId="1965EA22" w14:textId="77777777" w:rsidR="00991483" w:rsidRPr="00DB0548" w:rsidRDefault="00991483" w:rsidP="00991483">
      <w:pPr>
        <w:shd w:val="clear" w:color="auto" w:fill="FFFFFF"/>
        <w:spacing w:after="0"/>
        <w:ind w:firstLine="720"/>
        <w:jc w:val="both"/>
        <w:rPr>
          <w:rFonts w:ascii="Times New Roman" w:eastAsia="Georgia" w:hAnsi="Times New Roman" w:cs="Times New Roman"/>
          <w:color w:val="000000"/>
          <w:sz w:val="24"/>
          <w:szCs w:val="24"/>
        </w:rPr>
      </w:pPr>
      <w:r w:rsidRPr="00DB0548">
        <w:rPr>
          <w:rFonts w:ascii="Times New Roman" w:eastAsia="Georgia" w:hAnsi="Times New Roman" w:cs="Times New Roman"/>
          <w:color w:val="000000"/>
          <w:sz w:val="24"/>
          <w:szCs w:val="24"/>
        </w:rPr>
        <w:lastRenderedPageBreak/>
        <w:t xml:space="preserve">From the cluster of actors who are against the discourse, </w:t>
      </w:r>
      <w:proofErr w:type="spellStart"/>
      <w:r w:rsidRPr="00DB0548">
        <w:rPr>
          <w:rFonts w:ascii="Times New Roman" w:eastAsia="Georgia" w:hAnsi="Times New Roman" w:cs="Times New Roman"/>
          <w:color w:val="000000"/>
          <w:sz w:val="24"/>
          <w:szCs w:val="24"/>
        </w:rPr>
        <w:t>Titik</w:t>
      </w:r>
      <w:proofErr w:type="spellEnd"/>
      <w:r w:rsidRPr="00DB0548">
        <w:rPr>
          <w:rFonts w:ascii="Times New Roman" w:eastAsia="Georgia" w:hAnsi="Times New Roman" w:cs="Times New Roman"/>
          <w:color w:val="000000"/>
          <w:sz w:val="24"/>
          <w:szCs w:val="24"/>
        </w:rPr>
        <w:t xml:space="preserve"> Puji Rahayu (academic), Adi </w:t>
      </w:r>
      <w:proofErr w:type="spellStart"/>
      <w:r w:rsidRPr="00DB0548">
        <w:rPr>
          <w:rFonts w:ascii="Times New Roman" w:eastAsia="Georgia" w:hAnsi="Times New Roman" w:cs="Times New Roman"/>
          <w:color w:val="000000"/>
          <w:sz w:val="24"/>
          <w:szCs w:val="24"/>
        </w:rPr>
        <w:t>Prayitno</w:t>
      </w:r>
      <w:proofErr w:type="spellEnd"/>
      <w:r w:rsidRPr="00DB0548">
        <w:rPr>
          <w:rFonts w:ascii="Times New Roman" w:eastAsia="Georgia" w:hAnsi="Times New Roman" w:cs="Times New Roman"/>
          <w:color w:val="000000"/>
          <w:sz w:val="24"/>
          <w:szCs w:val="24"/>
        </w:rPr>
        <w:t xml:space="preserve"> (political observer), and </w:t>
      </w:r>
      <w:proofErr w:type="spellStart"/>
      <w:r w:rsidRPr="00DB0548">
        <w:rPr>
          <w:rFonts w:ascii="Times New Roman" w:eastAsia="Georgia" w:hAnsi="Times New Roman" w:cs="Times New Roman"/>
          <w:color w:val="000000"/>
          <w:sz w:val="24"/>
          <w:szCs w:val="24"/>
        </w:rPr>
        <w:t>Nenden</w:t>
      </w:r>
      <w:proofErr w:type="spellEnd"/>
      <w:r w:rsidRPr="00DB0548">
        <w:rPr>
          <w:rFonts w:ascii="Times New Roman" w:eastAsia="Georgia" w:hAnsi="Times New Roman" w:cs="Times New Roman"/>
          <w:color w:val="000000"/>
          <w:sz w:val="24"/>
          <w:szCs w:val="24"/>
        </w:rPr>
        <w:t xml:space="preserve"> Sekar Arum (</w:t>
      </w:r>
      <w:proofErr w:type="spellStart"/>
      <w:r w:rsidRPr="00DB0548">
        <w:rPr>
          <w:rFonts w:ascii="Times New Roman" w:eastAsia="Georgia" w:hAnsi="Times New Roman" w:cs="Times New Roman"/>
          <w:color w:val="000000"/>
          <w:sz w:val="24"/>
          <w:szCs w:val="24"/>
        </w:rPr>
        <w:t>SAFEnet</w:t>
      </w:r>
      <w:proofErr w:type="spellEnd"/>
      <w:r w:rsidRPr="00DB0548">
        <w:rPr>
          <w:rFonts w:ascii="Times New Roman" w:eastAsia="Georgia" w:hAnsi="Times New Roman" w:cs="Times New Roman"/>
          <w:color w:val="000000"/>
          <w:sz w:val="24"/>
          <w:szCs w:val="24"/>
        </w:rPr>
        <w:t xml:space="preserve"> digital activist), are interconnected with the concept of 'Prioritize digital literacy' and connect with Adinda Teriangke Muchtar (public policy observer) for the concept of 'Account restrictions are not effective in preventing buzzers'. Hilmi </w:t>
      </w:r>
      <w:proofErr w:type="spellStart"/>
      <w:r w:rsidRPr="00DB0548">
        <w:rPr>
          <w:rFonts w:ascii="Times New Roman" w:eastAsia="Georgia" w:hAnsi="Times New Roman" w:cs="Times New Roman"/>
          <w:color w:val="000000"/>
          <w:sz w:val="24"/>
          <w:szCs w:val="24"/>
        </w:rPr>
        <w:t>Adrianto</w:t>
      </w:r>
      <w:proofErr w:type="spellEnd"/>
      <w:r w:rsidRPr="00DB0548">
        <w:rPr>
          <w:rFonts w:ascii="Times New Roman" w:eastAsia="Georgia" w:hAnsi="Times New Roman" w:cs="Times New Roman"/>
          <w:color w:val="000000"/>
          <w:sz w:val="24"/>
          <w:szCs w:val="24"/>
        </w:rPr>
        <w:t xml:space="preserve"> and Berni </w:t>
      </w:r>
      <w:proofErr w:type="spellStart"/>
      <w:r w:rsidRPr="00DB0548">
        <w:rPr>
          <w:rFonts w:ascii="Times New Roman" w:eastAsia="Georgia" w:hAnsi="Times New Roman" w:cs="Times New Roman"/>
          <w:color w:val="000000"/>
          <w:sz w:val="24"/>
          <w:szCs w:val="24"/>
        </w:rPr>
        <w:t>Moestafa</w:t>
      </w:r>
      <w:proofErr w:type="spellEnd"/>
      <w:r w:rsidRPr="00DB0548">
        <w:rPr>
          <w:rFonts w:ascii="Times New Roman" w:eastAsia="Georgia" w:hAnsi="Times New Roman" w:cs="Times New Roman"/>
          <w:color w:val="000000"/>
          <w:sz w:val="24"/>
          <w:szCs w:val="24"/>
        </w:rPr>
        <w:t xml:space="preserve">, both from digital companies, are interconnected with the concept of 'Companies have their own rules'. Meanwhile, Andina Thresia Narang (DPR), Heru </w:t>
      </w:r>
      <w:proofErr w:type="spellStart"/>
      <w:r w:rsidRPr="00DB0548">
        <w:rPr>
          <w:rFonts w:ascii="Times New Roman" w:eastAsia="Georgia" w:hAnsi="Times New Roman" w:cs="Times New Roman"/>
          <w:color w:val="000000"/>
          <w:sz w:val="24"/>
          <w:szCs w:val="24"/>
        </w:rPr>
        <w:t>Sutadi</w:t>
      </w:r>
      <w:proofErr w:type="spellEnd"/>
      <w:r w:rsidRPr="00DB0548">
        <w:rPr>
          <w:rFonts w:ascii="Times New Roman" w:eastAsia="Georgia" w:hAnsi="Times New Roman" w:cs="Times New Roman"/>
          <w:color w:val="000000"/>
          <w:sz w:val="24"/>
          <w:szCs w:val="24"/>
        </w:rPr>
        <w:t xml:space="preserve"> (digital observer), and Kunto Adi Wibowo (academic) formed a small cluster with concepts that were not interconnected. However, they are included in the cluster that is against the discourse of account restrictions. </w:t>
      </w:r>
    </w:p>
    <w:p w14:paraId="414271A7" w14:textId="77777777" w:rsidR="00E8748C" w:rsidRDefault="00E8748C" w:rsidP="00991483">
      <w:pPr>
        <w:shd w:val="clear" w:color="auto" w:fill="FFFFFF"/>
        <w:spacing w:after="0"/>
        <w:jc w:val="both"/>
        <w:rPr>
          <w:rFonts w:ascii="Times New Roman" w:eastAsia="Georgia" w:hAnsi="Times New Roman" w:cs="Times New Roman"/>
          <w:b/>
          <w:bCs/>
          <w:color w:val="000000"/>
          <w:sz w:val="24"/>
          <w:szCs w:val="24"/>
        </w:rPr>
      </w:pPr>
    </w:p>
    <w:p w14:paraId="5C71AE52" w14:textId="304424BF" w:rsidR="00991483" w:rsidRPr="00E8748C" w:rsidRDefault="00991483" w:rsidP="00E8748C">
      <w:pPr>
        <w:shd w:val="clear" w:color="auto" w:fill="FFFFFF"/>
        <w:spacing w:after="0"/>
        <w:jc w:val="center"/>
        <w:rPr>
          <w:rFonts w:ascii="Times New Roman" w:eastAsia="Georgia" w:hAnsi="Times New Roman" w:cs="Times New Roman"/>
          <w:b/>
          <w:bCs/>
          <w:color w:val="000000"/>
          <w:sz w:val="24"/>
          <w:szCs w:val="24"/>
        </w:rPr>
      </w:pPr>
      <w:r w:rsidRPr="00E8748C">
        <w:rPr>
          <w:rFonts w:ascii="Times New Roman" w:eastAsia="Georgia" w:hAnsi="Times New Roman" w:cs="Times New Roman"/>
          <w:b/>
          <w:bCs/>
          <w:color w:val="000000"/>
          <w:sz w:val="24"/>
          <w:szCs w:val="24"/>
        </w:rPr>
        <w:t xml:space="preserve">Table 3. </w:t>
      </w:r>
      <w:r w:rsidR="00E8748C" w:rsidRPr="00E8748C">
        <w:rPr>
          <w:rFonts w:ascii="Times New Roman" w:eastAsia="Georgia" w:hAnsi="Times New Roman" w:cs="Times New Roman"/>
          <w:b/>
          <w:bCs/>
          <w:color w:val="000000"/>
          <w:sz w:val="24"/>
          <w:szCs w:val="24"/>
        </w:rPr>
        <w:t xml:space="preserve"> </w:t>
      </w:r>
      <w:r w:rsidRPr="00E8748C">
        <w:rPr>
          <w:rFonts w:ascii="Times New Roman" w:eastAsia="Georgia" w:hAnsi="Times New Roman" w:cs="Times New Roman"/>
          <w:b/>
          <w:bCs/>
          <w:color w:val="000000"/>
          <w:sz w:val="24"/>
          <w:szCs w:val="24"/>
        </w:rPr>
        <w:t>Description of Affiliate Network Statistics (Actor-Concept)</w:t>
      </w:r>
    </w:p>
    <w:tbl>
      <w:tblPr>
        <w:tblStyle w:val="KisiTabel"/>
        <w:tblW w:w="93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15"/>
        <w:gridCol w:w="1350"/>
        <w:gridCol w:w="990"/>
        <w:gridCol w:w="1170"/>
        <w:gridCol w:w="1260"/>
        <w:gridCol w:w="1293"/>
        <w:gridCol w:w="1672"/>
      </w:tblGrid>
      <w:tr w:rsidR="00991483" w:rsidRPr="00DB0548" w14:paraId="78A7C6BC" w14:textId="77777777" w:rsidTr="00E8748C">
        <w:tc>
          <w:tcPr>
            <w:tcW w:w="1615" w:type="dxa"/>
          </w:tcPr>
          <w:p w14:paraId="6C1D9871"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Actor</w:t>
            </w:r>
          </w:p>
        </w:tc>
        <w:tc>
          <w:tcPr>
            <w:tcW w:w="1350" w:type="dxa"/>
          </w:tcPr>
          <w:p w14:paraId="466E096E"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Frequency</w:t>
            </w:r>
          </w:p>
        </w:tc>
        <w:tc>
          <w:tcPr>
            <w:tcW w:w="990" w:type="dxa"/>
          </w:tcPr>
          <w:p w14:paraId="066CADD6"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Degree</w:t>
            </w:r>
          </w:p>
          <w:p w14:paraId="12559B4D"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w:t>
            </w:r>
          </w:p>
        </w:tc>
        <w:tc>
          <w:tcPr>
            <w:tcW w:w="1170" w:type="dxa"/>
          </w:tcPr>
          <w:p w14:paraId="7933810E"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Indegree</w:t>
            </w:r>
          </w:p>
          <w:p w14:paraId="47EAFD1B"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w:t>
            </w:r>
          </w:p>
        </w:tc>
        <w:tc>
          <w:tcPr>
            <w:tcW w:w="1260" w:type="dxa"/>
          </w:tcPr>
          <w:p w14:paraId="1CFCDAF0"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Closeness (%)</w:t>
            </w:r>
          </w:p>
        </w:tc>
        <w:tc>
          <w:tcPr>
            <w:tcW w:w="1293" w:type="dxa"/>
          </w:tcPr>
          <w:p w14:paraId="2B67F2C5"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Outdegree (%)</w:t>
            </w:r>
          </w:p>
        </w:tc>
        <w:tc>
          <w:tcPr>
            <w:tcW w:w="1672" w:type="dxa"/>
          </w:tcPr>
          <w:p w14:paraId="4DD93147"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Betweenness</w:t>
            </w:r>
          </w:p>
          <w:p w14:paraId="20445619" w14:textId="77777777" w:rsidR="00991483" w:rsidRPr="00DB0548" w:rsidRDefault="00991483" w:rsidP="00185028">
            <w:pPr>
              <w:spacing w:before="36" w:line="360" w:lineRule="auto"/>
              <w:jc w:val="both"/>
              <w:rPr>
                <w:rFonts w:ascii="Times New Roman" w:eastAsia="Cambria" w:hAnsi="Times New Roman" w:cs="Times New Roman"/>
              </w:rPr>
            </w:pPr>
            <w:r w:rsidRPr="00DB0548">
              <w:rPr>
                <w:rFonts w:ascii="Times New Roman" w:eastAsia="Cambria" w:hAnsi="Times New Roman" w:cs="Times New Roman"/>
              </w:rPr>
              <w:t>(%)</w:t>
            </w:r>
          </w:p>
        </w:tc>
      </w:tr>
      <w:tr w:rsidR="00991483" w:rsidRPr="00DB0548" w14:paraId="20C3AAD4" w14:textId="77777777" w:rsidTr="00E8748C">
        <w:tc>
          <w:tcPr>
            <w:tcW w:w="1615" w:type="dxa"/>
          </w:tcPr>
          <w:p w14:paraId="57800957"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By Soleh</w:t>
            </w:r>
          </w:p>
        </w:tc>
        <w:tc>
          <w:tcPr>
            <w:tcW w:w="1350" w:type="dxa"/>
          </w:tcPr>
          <w:p w14:paraId="65F32FEF"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42</w:t>
            </w:r>
          </w:p>
        </w:tc>
        <w:tc>
          <w:tcPr>
            <w:tcW w:w="990" w:type="dxa"/>
          </w:tcPr>
          <w:p w14:paraId="3D82E227"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6,43</w:t>
            </w:r>
          </w:p>
        </w:tc>
        <w:tc>
          <w:tcPr>
            <w:tcW w:w="1170" w:type="dxa"/>
          </w:tcPr>
          <w:p w14:paraId="612AD572"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6,43</w:t>
            </w:r>
          </w:p>
        </w:tc>
        <w:tc>
          <w:tcPr>
            <w:tcW w:w="1260" w:type="dxa"/>
          </w:tcPr>
          <w:p w14:paraId="434B6A1A"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1,32</w:t>
            </w:r>
          </w:p>
        </w:tc>
        <w:tc>
          <w:tcPr>
            <w:tcW w:w="1293" w:type="dxa"/>
          </w:tcPr>
          <w:p w14:paraId="3F3252AB"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6,43</w:t>
            </w:r>
          </w:p>
        </w:tc>
        <w:tc>
          <w:tcPr>
            <w:tcW w:w="1672" w:type="dxa"/>
          </w:tcPr>
          <w:p w14:paraId="089A4131"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11,42</w:t>
            </w:r>
          </w:p>
        </w:tc>
      </w:tr>
      <w:tr w:rsidR="00991483" w:rsidRPr="00DB0548" w14:paraId="75190633" w14:textId="77777777" w:rsidTr="00E8748C">
        <w:tc>
          <w:tcPr>
            <w:tcW w:w="1615" w:type="dxa"/>
          </w:tcPr>
          <w:p w14:paraId="0D7D3912"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Bambang Haryadi</w:t>
            </w:r>
          </w:p>
        </w:tc>
        <w:tc>
          <w:tcPr>
            <w:tcW w:w="1350" w:type="dxa"/>
          </w:tcPr>
          <w:p w14:paraId="180327E8"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20</w:t>
            </w:r>
          </w:p>
        </w:tc>
        <w:tc>
          <w:tcPr>
            <w:tcW w:w="990" w:type="dxa"/>
          </w:tcPr>
          <w:p w14:paraId="4C1EA3E1"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3,80</w:t>
            </w:r>
          </w:p>
        </w:tc>
        <w:tc>
          <w:tcPr>
            <w:tcW w:w="1170" w:type="dxa"/>
          </w:tcPr>
          <w:p w14:paraId="4E81DC35"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3,80</w:t>
            </w:r>
          </w:p>
        </w:tc>
        <w:tc>
          <w:tcPr>
            <w:tcW w:w="1260" w:type="dxa"/>
          </w:tcPr>
          <w:p w14:paraId="66E9C58D"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1,36</w:t>
            </w:r>
          </w:p>
        </w:tc>
        <w:tc>
          <w:tcPr>
            <w:tcW w:w="1293" w:type="dxa"/>
          </w:tcPr>
          <w:p w14:paraId="314CAC6F"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3,80</w:t>
            </w:r>
          </w:p>
        </w:tc>
        <w:tc>
          <w:tcPr>
            <w:tcW w:w="1672" w:type="dxa"/>
          </w:tcPr>
          <w:p w14:paraId="657FDB9D"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9,11</w:t>
            </w:r>
          </w:p>
        </w:tc>
      </w:tr>
      <w:tr w:rsidR="00991483" w:rsidRPr="00DB0548" w14:paraId="7E22200C" w14:textId="77777777" w:rsidTr="00E8748C">
        <w:tc>
          <w:tcPr>
            <w:tcW w:w="1615" w:type="dxa"/>
          </w:tcPr>
          <w:p w14:paraId="5C0FCF82"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Account restrictions prevent anonymous or fake accounts</w:t>
            </w:r>
          </w:p>
        </w:tc>
        <w:tc>
          <w:tcPr>
            <w:tcW w:w="1350" w:type="dxa"/>
          </w:tcPr>
          <w:p w14:paraId="6598872A"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10</w:t>
            </w:r>
          </w:p>
        </w:tc>
        <w:tc>
          <w:tcPr>
            <w:tcW w:w="990" w:type="dxa"/>
          </w:tcPr>
          <w:p w14:paraId="27864767"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1,75</w:t>
            </w:r>
          </w:p>
        </w:tc>
        <w:tc>
          <w:tcPr>
            <w:tcW w:w="1170" w:type="dxa"/>
          </w:tcPr>
          <w:p w14:paraId="656DF888"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1,75</w:t>
            </w:r>
          </w:p>
        </w:tc>
        <w:tc>
          <w:tcPr>
            <w:tcW w:w="1260" w:type="dxa"/>
          </w:tcPr>
          <w:p w14:paraId="46E46980"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1,33</w:t>
            </w:r>
          </w:p>
        </w:tc>
        <w:tc>
          <w:tcPr>
            <w:tcW w:w="1293" w:type="dxa"/>
          </w:tcPr>
          <w:p w14:paraId="43B02326"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1,75</w:t>
            </w:r>
          </w:p>
        </w:tc>
        <w:tc>
          <w:tcPr>
            <w:tcW w:w="1672" w:type="dxa"/>
          </w:tcPr>
          <w:p w14:paraId="574145DD"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8,02</w:t>
            </w:r>
          </w:p>
        </w:tc>
      </w:tr>
      <w:tr w:rsidR="00991483" w:rsidRPr="00DB0548" w14:paraId="5AFFBC5A" w14:textId="77777777" w:rsidTr="00E8748C">
        <w:tc>
          <w:tcPr>
            <w:tcW w:w="1615" w:type="dxa"/>
          </w:tcPr>
          <w:p w14:paraId="7E347AB8"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A Point of Praise</w:t>
            </w:r>
          </w:p>
        </w:tc>
        <w:tc>
          <w:tcPr>
            <w:tcW w:w="1350" w:type="dxa"/>
          </w:tcPr>
          <w:p w14:paraId="3E54E98B"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11</w:t>
            </w:r>
          </w:p>
        </w:tc>
        <w:tc>
          <w:tcPr>
            <w:tcW w:w="990" w:type="dxa"/>
          </w:tcPr>
          <w:p w14:paraId="5A904758"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2,63</w:t>
            </w:r>
          </w:p>
        </w:tc>
        <w:tc>
          <w:tcPr>
            <w:tcW w:w="1170" w:type="dxa"/>
          </w:tcPr>
          <w:p w14:paraId="6C0DF09B"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2,63</w:t>
            </w:r>
          </w:p>
        </w:tc>
        <w:tc>
          <w:tcPr>
            <w:tcW w:w="1260" w:type="dxa"/>
          </w:tcPr>
          <w:p w14:paraId="6DD44AE4"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0,51</w:t>
            </w:r>
          </w:p>
        </w:tc>
        <w:tc>
          <w:tcPr>
            <w:tcW w:w="1293" w:type="dxa"/>
          </w:tcPr>
          <w:p w14:paraId="0449EBEB"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2,63</w:t>
            </w:r>
          </w:p>
        </w:tc>
        <w:tc>
          <w:tcPr>
            <w:tcW w:w="1672" w:type="dxa"/>
          </w:tcPr>
          <w:p w14:paraId="22EC36D1"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1,33</w:t>
            </w:r>
          </w:p>
        </w:tc>
      </w:tr>
      <w:tr w:rsidR="00991483" w:rsidRPr="00DB0548" w14:paraId="53555AE1" w14:textId="77777777" w:rsidTr="00E8748C">
        <w:tc>
          <w:tcPr>
            <w:tcW w:w="1615" w:type="dxa"/>
          </w:tcPr>
          <w:p w14:paraId="1FE9AD07"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Prioritize digital literacy</w:t>
            </w:r>
          </w:p>
        </w:tc>
        <w:tc>
          <w:tcPr>
            <w:tcW w:w="1350" w:type="dxa"/>
          </w:tcPr>
          <w:p w14:paraId="629FA155"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5</w:t>
            </w:r>
          </w:p>
        </w:tc>
        <w:tc>
          <w:tcPr>
            <w:tcW w:w="990" w:type="dxa"/>
          </w:tcPr>
          <w:p w14:paraId="20FD3823"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1,46</w:t>
            </w:r>
          </w:p>
        </w:tc>
        <w:tc>
          <w:tcPr>
            <w:tcW w:w="1170" w:type="dxa"/>
          </w:tcPr>
          <w:p w14:paraId="2D5F4CAA"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1,46</w:t>
            </w:r>
          </w:p>
        </w:tc>
        <w:tc>
          <w:tcPr>
            <w:tcW w:w="1260" w:type="dxa"/>
          </w:tcPr>
          <w:p w14:paraId="3C0CE735"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1,19</w:t>
            </w:r>
          </w:p>
        </w:tc>
        <w:tc>
          <w:tcPr>
            <w:tcW w:w="1293" w:type="dxa"/>
          </w:tcPr>
          <w:p w14:paraId="560EA0BD"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1,46</w:t>
            </w:r>
          </w:p>
        </w:tc>
        <w:tc>
          <w:tcPr>
            <w:tcW w:w="1672" w:type="dxa"/>
          </w:tcPr>
          <w:p w14:paraId="0A394D41"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1,02</w:t>
            </w:r>
          </w:p>
        </w:tc>
      </w:tr>
      <w:tr w:rsidR="00991483" w:rsidRPr="00DB0548" w14:paraId="483B8373" w14:textId="77777777" w:rsidTr="00E8748C">
        <w:tc>
          <w:tcPr>
            <w:tcW w:w="1615" w:type="dxa"/>
          </w:tcPr>
          <w:p w14:paraId="0C8C4049" w14:textId="77777777" w:rsidR="00991483" w:rsidRPr="00DB0548" w:rsidRDefault="00991483" w:rsidP="00185028">
            <w:pPr>
              <w:spacing w:before="36" w:line="276" w:lineRule="auto"/>
              <w:jc w:val="both"/>
              <w:rPr>
                <w:rFonts w:ascii="Times New Roman" w:eastAsia="Cambria" w:hAnsi="Times New Roman" w:cs="Times New Roman"/>
              </w:rPr>
            </w:pPr>
            <w:proofErr w:type="spellStart"/>
            <w:r w:rsidRPr="00DB0548">
              <w:rPr>
                <w:rFonts w:ascii="Times New Roman" w:eastAsia="Cambria" w:hAnsi="Times New Roman" w:cs="Times New Roman"/>
              </w:rPr>
              <w:t>Resky</w:t>
            </w:r>
            <w:proofErr w:type="spellEnd"/>
          </w:p>
        </w:tc>
        <w:tc>
          <w:tcPr>
            <w:tcW w:w="1350" w:type="dxa"/>
          </w:tcPr>
          <w:p w14:paraId="7B8ADC20"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w:t>
            </w:r>
          </w:p>
        </w:tc>
        <w:tc>
          <w:tcPr>
            <w:tcW w:w="990" w:type="dxa"/>
          </w:tcPr>
          <w:p w14:paraId="192BACE4"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0,29</w:t>
            </w:r>
          </w:p>
        </w:tc>
        <w:tc>
          <w:tcPr>
            <w:tcW w:w="1170" w:type="dxa"/>
          </w:tcPr>
          <w:p w14:paraId="3B9464A5"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0,29</w:t>
            </w:r>
          </w:p>
        </w:tc>
        <w:tc>
          <w:tcPr>
            <w:tcW w:w="1260" w:type="dxa"/>
          </w:tcPr>
          <w:p w14:paraId="46E5E229"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0,04</w:t>
            </w:r>
          </w:p>
        </w:tc>
        <w:tc>
          <w:tcPr>
            <w:tcW w:w="1293" w:type="dxa"/>
          </w:tcPr>
          <w:p w14:paraId="7C221F06"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0,29</w:t>
            </w:r>
          </w:p>
        </w:tc>
        <w:tc>
          <w:tcPr>
            <w:tcW w:w="1672" w:type="dxa"/>
          </w:tcPr>
          <w:p w14:paraId="440D2B1B"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w:t>
            </w:r>
          </w:p>
        </w:tc>
      </w:tr>
      <w:tr w:rsidR="00991483" w:rsidRPr="00DB0548" w14:paraId="454CE40F" w14:textId="77777777" w:rsidTr="00E8748C">
        <w:tc>
          <w:tcPr>
            <w:tcW w:w="1615" w:type="dxa"/>
          </w:tcPr>
          <w:p w14:paraId="2E2EA80C"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Account restrictions are non-urgent and irrelevant</w:t>
            </w:r>
          </w:p>
        </w:tc>
        <w:tc>
          <w:tcPr>
            <w:tcW w:w="1350" w:type="dxa"/>
          </w:tcPr>
          <w:p w14:paraId="4EF1A2F5"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1</w:t>
            </w:r>
          </w:p>
        </w:tc>
        <w:tc>
          <w:tcPr>
            <w:tcW w:w="990" w:type="dxa"/>
          </w:tcPr>
          <w:p w14:paraId="27057F9A"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0,29</w:t>
            </w:r>
          </w:p>
        </w:tc>
        <w:tc>
          <w:tcPr>
            <w:tcW w:w="1170" w:type="dxa"/>
          </w:tcPr>
          <w:p w14:paraId="18FCEE52"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0,29</w:t>
            </w:r>
          </w:p>
        </w:tc>
        <w:tc>
          <w:tcPr>
            <w:tcW w:w="1260" w:type="dxa"/>
          </w:tcPr>
          <w:p w14:paraId="3A4F7C2F"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0,04</w:t>
            </w:r>
          </w:p>
        </w:tc>
        <w:tc>
          <w:tcPr>
            <w:tcW w:w="1293" w:type="dxa"/>
          </w:tcPr>
          <w:p w14:paraId="165BD9FD"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0,29</w:t>
            </w:r>
          </w:p>
        </w:tc>
        <w:tc>
          <w:tcPr>
            <w:tcW w:w="1672" w:type="dxa"/>
          </w:tcPr>
          <w:p w14:paraId="5CC67A40" w14:textId="77777777" w:rsidR="00991483" w:rsidRPr="00DB0548" w:rsidRDefault="00991483" w:rsidP="00185028">
            <w:pPr>
              <w:spacing w:before="36" w:line="276" w:lineRule="auto"/>
              <w:jc w:val="both"/>
              <w:rPr>
                <w:rFonts w:ascii="Times New Roman" w:eastAsia="Cambria" w:hAnsi="Times New Roman" w:cs="Times New Roman"/>
              </w:rPr>
            </w:pPr>
            <w:r w:rsidRPr="00DB0548">
              <w:rPr>
                <w:rFonts w:ascii="Times New Roman" w:eastAsia="Cambria" w:hAnsi="Times New Roman" w:cs="Times New Roman"/>
              </w:rPr>
              <w:t>0</w:t>
            </w:r>
          </w:p>
        </w:tc>
      </w:tr>
    </w:tbl>
    <w:p w14:paraId="4264C809" w14:textId="77777777" w:rsidR="00991483" w:rsidRPr="00DB0548" w:rsidRDefault="00991483" w:rsidP="00991483">
      <w:pPr>
        <w:shd w:val="clear" w:color="auto" w:fill="FFFFFF"/>
        <w:spacing w:after="0"/>
        <w:jc w:val="both"/>
        <w:rPr>
          <w:rFonts w:ascii="Times New Roman" w:eastAsia="Georgia" w:hAnsi="Times New Roman" w:cs="Times New Roman"/>
          <w:i/>
          <w:iCs/>
          <w:color w:val="000000"/>
          <w:sz w:val="24"/>
          <w:szCs w:val="24"/>
        </w:rPr>
      </w:pPr>
      <w:r w:rsidRPr="00DB0548">
        <w:rPr>
          <w:rFonts w:ascii="Times New Roman" w:eastAsia="Georgia" w:hAnsi="Times New Roman" w:cs="Times New Roman"/>
          <w:b/>
          <w:bCs/>
          <w:color w:val="000000"/>
          <w:sz w:val="24"/>
          <w:szCs w:val="24"/>
        </w:rPr>
        <w:t xml:space="preserve">Source: </w:t>
      </w:r>
      <w:r w:rsidRPr="00DB0548">
        <w:rPr>
          <w:rFonts w:ascii="Times New Roman" w:eastAsia="Georgia" w:hAnsi="Times New Roman" w:cs="Times New Roman"/>
          <w:i/>
          <w:iCs/>
          <w:color w:val="000000"/>
          <w:sz w:val="24"/>
          <w:szCs w:val="24"/>
        </w:rPr>
        <w:t>Visone Processed Data, 2025</w:t>
      </w:r>
    </w:p>
    <w:p w14:paraId="7CB49F4F" w14:textId="13C3DD98" w:rsidR="00F52C62" w:rsidRPr="00F52C62" w:rsidRDefault="00F52C62" w:rsidP="00F52C62">
      <w:pPr>
        <w:shd w:val="clear" w:color="auto" w:fill="FFFFFF"/>
        <w:spacing w:after="0"/>
        <w:ind w:firstLine="567"/>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Table 3 confirms the dominance of support groups for the “One Person One Social Media Account” issue. Actor Oleh Soleh (DPR) recorded the highest frequency, degree centrality, and betweenness—42, 6.43%, and 11.42%, respectively. This indicates that he is the most visible actor, demonstrating strong connectivity and relevance to other actors within the same group. However, Bambang Haryadi exhibited the highest closeness centrality (1.36%) among members of the supporting group. Meanwhile, the concept “Account restriction prevents anonymous and fake accounts” appeared most frequently (10 occurrences) and also possessed the highest degree centrality, closeness, and betweenness—1.75%, 1.33%, and 8.02%, respectively. This demonstrates that the concept is the most popular and well-connected among those in the pro-policy network, serving as an effective link between related pro-discourse concepts. The concept “Account restriction prevents fraud and the spread of hoaxes” ranked second, with six occurrences and respective centrality values of 1.17%, 1.19%, and 4.04%.</w:t>
      </w:r>
    </w:p>
    <w:p w14:paraId="04E57ED9" w14:textId="15059F7B" w:rsidR="00F52C62" w:rsidRPr="00F52C62" w:rsidRDefault="00F52C62" w:rsidP="00F52C62">
      <w:pPr>
        <w:shd w:val="clear" w:color="auto" w:fill="FFFFFF"/>
        <w:spacing w:after="0"/>
        <w:ind w:firstLine="567"/>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 xml:space="preserve">From the counter group, </w:t>
      </w:r>
      <w:proofErr w:type="spellStart"/>
      <w:r w:rsidRPr="00F52C62">
        <w:rPr>
          <w:rFonts w:ascii="Times New Roman" w:eastAsia="Georgia" w:hAnsi="Times New Roman" w:cs="Times New Roman"/>
          <w:color w:val="000000"/>
          <w:sz w:val="24"/>
          <w:szCs w:val="24"/>
        </w:rPr>
        <w:t>Titik</w:t>
      </w:r>
      <w:proofErr w:type="spellEnd"/>
      <w:r w:rsidRPr="00F52C62">
        <w:rPr>
          <w:rFonts w:ascii="Times New Roman" w:eastAsia="Georgia" w:hAnsi="Times New Roman" w:cs="Times New Roman"/>
          <w:color w:val="000000"/>
          <w:sz w:val="24"/>
          <w:szCs w:val="24"/>
        </w:rPr>
        <w:t xml:space="preserve"> Puji Rahayu emerged as the actor with the highest frequency, appearing 11 times. This actor recorded degree centrality of 2.63%, closeness of </w:t>
      </w:r>
      <w:r w:rsidRPr="00F52C62">
        <w:rPr>
          <w:rFonts w:ascii="Times New Roman" w:eastAsia="Georgia" w:hAnsi="Times New Roman" w:cs="Times New Roman"/>
          <w:color w:val="000000"/>
          <w:sz w:val="24"/>
          <w:szCs w:val="24"/>
        </w:rPr>
        <w:lastRenderedPageBreak/>
        <w:t>0.51%, and betweenness of 1.33%, indicating strong visibility within her group and connectivity with other actors. In parallel, the concept “Prioritizing digital literacy” appeared most frequently among counter-discursive concepts, with a centrality level of 1.46%. However, there were also several actors and concepts isolated from the main clusters. These actors belonged to the counter-discourse group, but their coalition networks appeared only once, with betweenness of 0, meaning they had no meaningful associations with other actors or concepts.</w:t>
      </w:r>
    </w:p>
    <w:p w14:paraId="77DE1BF2" w14:textId="24456377" w:rsidR="00F52C62" w:rsidRPr="00F52C62" w:rsidRDefault="00F52C62" w:rsidP="00F52C62">
      <w:pPr>
        <w:shd w:val="clear" w:color="auto" w:fill="FFFFFF"/>
        <w:spacing w:after="0"/>
        <w:ind w:firstLine="567"/>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According to the Discourse Coalition Framework (DCF) proposed by Maarten Hajer, the policy process represents a “battle of discourses,” wherein actors from diverse backgrounds unite around shared ideas, concepts, and storylines to shape policy reality and outcomes (Hajer, 1993, 1997). The findings of this study indicate that the dominant coalition consists of actors from the legislature and the government—powerful, institutionally supported entities. Their shared narrative, or storyline (a key element in DCF), is coherent and persuasive, emphasizing that account restrictions are necessary to ensure public safety and order, often framed through concepts such as “preventing hoaxes” or “preventing fake accounts.” The dominance of this coalition is evident in the prominence of its concepts across online media coverage, while opposing narratives appear marginalized. The counter-discourse, which emphasizes digital literacy and individual rights, proves weak because it lacks a cohesive and influential actor coalition to advocate effectively for its position. In DCF terms, this demonstrates how the “security” discourse has evolved toward a structuring discourse—becoming the predominant frame for understanding the issue.</w:t>
      </w:r>
    </w:p>
    <w:p w14:paraId="09EDE5CD" w14:textId="59FB99BA" w:rsidR="00F52C62" w:rsidRPr="00F52C62" w:rsidRDefault="00F52C62" w:rsidP="00F52C62">
      <w:pPr>
        <w:shd w:val="clear" w:color="auto" w:fill="FFFFFF"/>
        <w:spacing w:after="0"/>
        <w:ind w:firstLine="567"/>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Furthermore, the alignment of legislative and governmental actors around the same discourse on account restrictions indicates a high degree of congruence within this group. In a Discourse Network Analysis (DNA) network, these actors cluster closely together, displaying strong relational weights that highlight shared concepts. The central ideas they promote</w:t>
      </w:r>
      <w:proofErr w:type="gramStart"/>
      <w:r w:rsidRPr="00F52C62">
        <w:rPr>
          <w:rFonts w:ascii="Times New Roman" w:eastAsia="Georgia" w:hAnsi="Times New Roman" w:cs="Times New Roman"/>
          <w:color w:val="000000"/>
          <w:sz w:val="24"/>
          <w:szCs w:val="24"/>
        </w:rPr>
        <w:t>—“</w:t>
      </w:r>
      <w:proofErr w:type="gramEnd"/>
      <w:r w:rsidRPr="00F52C62">
        <w:rPr>
          <w:rFonts w:ascii="Times New Roman" w:eastAsia="Georgia" w:hAnsi="Times New Roman" w:cs="Times New Roman"/>
          <w:color w:val="000000"/>
          <w:sz w:val="24"/>
          <w:szCs w:val="24"/>
        </w:rPr>
        <w:t xml:space="preserve">Account restrictions prevent anonymous or fake accounts” and “Account restrictions prevent hoaxes”—occupy central positions in the actor–concept affiliation network, suggesting that numerous influential actors are linked to them. The fact that dominant actors promote dominant concepts underscores the alignment between material power (institutional position) and discursive power (control over narrative construction). This finding aligns with studies by Bækgaard et al. (2024), Patria et al. (2025), and </w:t>
      </w:r>
      <w:proofErr w:type="spellStart"/>
      <w:r w:rsidRPr="00F52C62">
        <w:rPr>
          <w:rFonts w:ascii="Times New Roman" w:eastAsia="Georgia" w:hAnsi="Times New Roman" w:cs="Times New Roman"/>
          <w:color w:val="000000"/>
          <w:sz w:val="24"/>
          <w:szCs w:val="24"/>
        </w:rPr>
        <w:t>Swarnakar</w:t>
      </w:r>
      <w:proofErr w:type="spellEnd"/>
      <w:r w:rsidRPr="00F52C62">
        <w:rPr>
          <w:rFonts w:ascii="Times New Roman" w:eastAsia="Georgia" w:hAnsi="Times New Roman" w:cs="Times New Roman"/>
          <w:color w:val="000000"/>
          <w:sz w:val="24"/>
          <w:szCs w:val="24"/>
        </w:rPr>
        <w:t xml:space="preserve"> et al. (2022), which illustrate how government actors—often in coalition with business sectors—construct strong discourse coalitions under the pretext of protecting national interests.</w:t>
      </w:r>
    </w:p>
    <w:p w14:paraId="36AFB10F" w14:textId="278CA751" w:rsidR="00F52C62" w:rsidRPr="00F52C62" w:rsidRDefault="00F52C62" w:rsidP="00F52C62">
      <w:pPr>
        <w:shd w:val="clear" w:color="auto" w:fill="FFFFFF"/>
        <w:spacing w:after="0"/>
        <w:ind w:firstLine="567"/>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The DNA analysis also demonstrates that less influential concepts, such as “Prioritize digital literacy” or “Account restrictions violate individual rights,” are employed by only a few actors and show low conceptual centrality. These discourses originate primarily from actors with limited influence in the network—such as academics, public policy analysts, digital activists, and members of the public—who occupy peripheral positions</w:t>
      </w:r>
      <w:r>
        <w:rPr>
          <w:rFonts w:ascii="Times New Roman" w:eastAsia="Georgia" w:hAnsi="Times New Roman" w:cs="Times New Roman"/>
          <w:color w:val="000000"/>
          <w:sz w:val="24"/>
          <w:szCs w:val="24"/>
        </w:rPr>
        <w:t>.</w:t>
      </w:r>
    </w:p>
    <w:p w14:paraId="69593E98" w14:textId="61C3983C" w:rsidR="00991483" w:rsidRPr="00DB0548" w:rsidRDefault="00F52C62" w:rsidP="00F52C62">
      <w:pPr>
        <w:shd w:val="clear" w:color="auto" w:fill="FFFFFF"/>
        <w:spacing w:after="0"/>
        <w:ind w:firstLine="567"/>
        <w:jc w:val="both"/>
        <w:rPr>
          <w:rFonts w:ascii="Times New Roman" w:eastAsia="Georgia" w:hAnsi="Times New Roman" w:cs="Times New Roman"/>
          <w:color w:val="000000"/>
          <w:sz w:val="24"/>
          <w:szCs w:val="24"/>
        </w:rPr>
      </w:pPr>
      <w:r w:rsidRPr="00F52C62">
        <w:rPr>
          <w:rFonts w:ascii="Times New Roman" w:eastAsia="Georgia" w:hAnsi="Times New Roman" w:cs="Times New Roman"/>
          <w:color w:val="000000"/>
          <w:sz w:val="24"/>
          <w:szCs w:val="24"/>
        </w:rPr>
        <w:t xml:space="preserve">Hajer’s theory (1993, 1997, 2002) emphasizes that discourse dominance is not solely determined by argument quality but by actors’ ability to package and communicate messages effectively. The findings of this study confirm this view: the security narrative gains greater public acceptance because it is driven by actors with institutional authority and strong communicative capacity. Meanwhile, the Discourse Network Analysis framework (Leifeld, 2017, 2020) effectively maps relationships between actors and concepts, illustrating how discourse coalitions are formed and how dominant narratives circulate through networks. This aligns with the findings of Bækgaard et al. (2024), which show how government actors—in </w:t>
      </w:r>
      <w:r w:rsidRPr="00F52C62">
        <w:rPr>
          <w:rFonts w:ascii="Times New Roman" w:eastAsia="Georgia" w:hAnsi="Times New Roman" w:cs="Times New Roman"/>
          <w:color w:val="000000"/>
          <w:sz w:val="24"/>
          <w:szCs w:val="24"/>
        </w:rPr>
        <w:lastRenderedPageBreak/>
        <w:t>that case, the European Commission—align with business interests to marginalize transformative discourses</w:t>
      </w:r>
      <w:r w:rsidR="00991483" w:rsidRPr="00DB0548">
        <w:rPr>
          <w:rFonts w:ascii="Times New Roman" w:eastAsia="Georgia" w:hAnsi="Times New Roman" w:cs="Times New Roman"/>
          <w:color w:val="000000"/>
          <w:sz w:val="24"/>
          <w:szCs w:val="24"/>
        </w:rPr>
        <w:t>.</w:t>
      </w:r>
    </w:p>
    <w:p w14:paraId="3740F512" w14:textId="77777777" w:rsidR="00991483" w:rsidRDefault="00991483" w:rsidP="00991483">
      <w:pPr>
        <w:spacing w:after="0" w:line="276" w:lineRule="auto"/>
        <w:rPr>
          <w:rFonts w:ascii="Times New Roman" w:eastAsia="Times New Roman" w:hAnsi="Times New Roman" w:cs="Times New Roman"/>
          <w:b/>
          <w:color w:val="002060"/>
          <w:sz w:val="24"/>
          <w:szCs w:val="24"/>
        </w:rPr>
      </w:pPr>
    </w:p>
    <w:p w14:paraId="43238E5F" w14:textId="212F8653" w:rsidR="00A1176A" w:rsidRDefault="005C6DD9" w:rsidP="00991483">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CONCLUSION</w:t>
      </w:r>
    </w:p>
    <w:p w14:paraId="039A5CC7" w14:textId="73B79FB8" w:rsidR="00991483" w:rsidRDefault="00991483" w:rsidP="00312EA8">
      <w:pPr>
        <w:spacing w:after="0"/>
        <w:ind w:firstLine="720"/>
        <w:jc w:val="both"/>
        <w:rPr>
          <w:rFonts w:ascii="Times New Roman" w:eastAsia="Georgia" w:hAnsi="Times New Roman" w:cs="Times New Roman"/>
          <w:sz w:val="24"/>
          <w:szCs w:val="24"/>
        </w:rPr>
      </w:pPr>
      <w:r w:rsidRPr="00DB0548">
        <w:rPr>
          <w:rFonts w:ascii="Times New Roman" w:eastAsia="Georgia" w:hAnsi="Times New Roman" w:cs="Times New Roman"/>
          <w:sz w:val="24"/>
          <w:szCs w:val="24"/>
        </w:rPr>
        <w:t>This study confirms that institutional forces, in this case the positions of the House of Representatives and the government, combined with discursive forces, namely security narratives, produce dominant discourses. This is in line with Hajer's view that public policy is a "battle of discourse" in which powerful actors more easily win the narrative. The discourse on digital literacy and individual rights failed to become dominant because it did not have the support of strong institutional actors. DNA shows low centrality of the counter-concepts, showing weak networks and coalitions. If the discourse on security continues to be dominant, the One Person One Social Media Account policy could potentially be seen as the main solution, although there is an alternative discourse that emphasizes risks to freedom of expression and individual rights. This can show how public policy in Indonesia is shaped more by the power of the dominant narrative than by a rational evaluation of policy effectiveness. Methodologically, DNA has proven to be effective in mapping discourse coalitions and contributing to the study of digital policy communication. Advanced research can expand coverage to live social media and compare with international practice to enrich perspectives.</w:t>
      </w:r>
    </w:p>
    <w:p w14:paraId="1160F595" w14:textId="77777777" w:rsidR="00312EA8" w:rsidRPr="00DB0548" w:rsidRDefault="00312EA8" w:rsidP="00312EA8">
      <w:pPr>
        <w:spacing w:after="0"/>
        <w:ind w:firstLine="720"/>
        <w:jc w:val="both"/>
        <w:rPr>
          <w:rFonts w:ascii="Times New Roman" w:eastAsia="Georgia" w:hAnsi="Times New Roman" w:cs="Times New Roman"/>
          <w:sz w:val="24"/>
          <w:szCs w:val="24"/>
        </w:rPr>
      </w:pPr>
    </w:p>
    <w:p w14:paraId="1EDB2EC2" w14:textId="77777777" w:rsidR="00740267" w:rsidRDefault="00740267">
      <w:pP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br w:type="page"/>
      </w:r>
    </w:p>
    <w:p w14:paraId="215C679F" w14:textId="3C1C2599" w:rsidR="00AD5DFB" w:rsidRDefault="005C6DD9" w:rsidP="00312EA8">
      <w:pPr>
        <w:spacing w:after="0" w:line="276" w:lineRule="auto"/>
        <w:rPr>
          <w:rFonts w:ascii="Times New Roman" w:eastAsia="Georgia" w:hAnsi="Times New Roman" w:cs="Times New Roman"/>
          <w:b/>
          <w:bCs/>
          <w:sz w:val="24"/>
          <w:szCs w:val="24"/>
          <w:lang w:val="en" w:eastAsia="en-ID"/>
        </w:rPr>
      </w:pPr>
      <w:r>
        <w:rPr>
          <w:rFonts w:ascii="Times New Roman" w:eastAsia="Times New Roman" w:hAnsi="Times New Roman" w:cs="Times New Roman"/>
          <w:b/>
          <w:color w:val="002060"/>
          <w:sz w:val="24"/>
          <w:szCs w:val="24"/>
        </w:rPr>
        <w:lastRenderedPageBreak/>
        <w:t>REFERENCES</w:t>
      </w:r>
    </w:p>
    <w:p w14:paraId="5616A61A" w14:textId="2D0C2C64"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Pr>
          <w:rFonts w:ascii="Times New Roman" w:eastAsia="Georgia" w:hAnsi="Times New Roman" w:cs="Times New Roman"/>
          <w:b/>
          <w:bCs/>
          <w:sz w:val="24"/>
          <w:szCs w:val="24"/>
        </w:rPr>
        <w:fldChar w:fldCharType="begin" w:fldLock="1"/>
      </w:r>
      <w:r>
        <w:rPr>
          <w:rFonts w:ascii="Times New Roman" w:eastAsia="Georgia" w:hAnsi="Times New Roman" w:cs="Times New Roman"/>
          <w:b/>
          <w:bCs/>
          <w:sz w:val="24"/>
          <w:szCs w:val="24"/>
        </w:rPr>
        <w:instrText xml:space="preserve">ADDIN Mendeley Bibliography CSL_BIBLIOGRAPHY </w:instrText>
      </w:r>
      <w:r>
        <w:rPr>
          <w:rFonts w:ascii="Times New Roman" w:eastAsia="Georgia" w:hAnsi="Times New Roman" w:cs="Times New Roman"/>
          <w:b/>
          <w:bCs/>
          <w:sz w:val="24"/>
          <w:szCs w:val="24"/>
        </w:rPr>
        <w:fldChar w:fldCharType="separate"/>
      </w:r>
      <w:r w:rsidRPr="00312EA8">
        <w:rPr>
          <w:rFonts w:asciiTheme="majorBidi" w:hAnsiTheme="majorBidi" w:cstheme="majorBidi"/>
          <w:noProof/>
          <w:sz w:val="24"/>
          <w:szCs w:val="24"/>
        </w:rPr>
        <w:t xml:space="preserve">Altermatt, F., Couton, M., Carraro, L., Keck, F., Lawson-Handley, L., Leese, F., Zhang, X., Zhang, Y., &amp; Blackman, R. C. (2025). Utilizing aquatic environmental DNA to address global biodiversity targets. </w:t>
      </w:r>
      <w:r w:rsidRPr="00312EA8">
        <w:rPr>
          <w:rFonts w:asciiTheme="majorBidi" w:hAnsiTheme="majorBidi" w:cstheme="majorBidi"/>
          <w:i/>
          <w:iCs/>
          <w:noProof/>
          <w:sz w:val="24"/>
          <w:szCs w:val="24"/>
        </w:rPr>
        <w:t>Nature Reviews Biodiversity</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1</w:t>
      </w:r>
      <w:r w:rsidRPr="00312EA8">
        <w:rPr>
          <w:rFonts w:asciiTheme="majorBidi" w:hAnsiTheme="majorBidi" w:cstheme="majorBidi"/>
          <w:noProof/>
          <w:sz w:val="24"/>
          <w:szCs w:val="24"/>
        </w:rPr>
        <w:t>(5), 332–346.</w:t>
      </w:r>
    </w:p>
    <w:p w14:paraId="3DEF153A" w14:textId="77777777"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Bruun, J., Lindahl, M., &amp; Linder, C. (2019). Network analysis and qualitative discourse analysis of a classroom group discussion. </w:t>
      </w:r>
      <w:r w:rsidRPr="00312EA8">
        <w:rPr>
          <w:rFonts w:asciiTheme="majorBidi" w:hAnsiTheme="majorBidi" w:cstheme="majorBidi"/>
          <w:i/>
          <w:iCs/>
          <w:noProof/>
          <w:sz w:val="24"/>
          <w:szCs w:val="24"/>
        </w:rPr>
        <w:t>International Journal of Research &amp; Method in Education</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42</w:t>
      </w:r>
      <w:r w:rsidRPr="00312EA8">
        <w:rPr>
          <w:rFonts w:asciiTheme="majorBidi" w:hAnsiTheme="majorBidi" w:cstheme="majorBidi"/>
          <w:noProof/>
          <w:sz w:val="24"/>
          <w:szCs w:val="24"/>
        </w:rPr>
        <w:t>(3), 317–339.</w:t>
      </w:r>
    </w:p>
    <w:p w14:paraId="332B9195" w14:textId="27C22058"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lang w:val="en-ID"/>
        </w:rPr>
        <w:t xml:space="preserve">Bækgaard, A. S., Engberg, C., &amp; Hasselbalch, J. A. (2024). The technocentric consensus: A discourse network analysis of the European circular economy debate. </w:t>
      </w:r>
      <w:r w:rsidRPr="00312EA8">
        <w:rPr>
          <w:rFonts w:asciiTheme="majorBidi" w:hAnsiTheme="majorBidi" w:cstheme="majorBidi"/>
          <w:i/>
          <w:iCs/>
          <w:noProof/>
          <w:sz w:val="24"/>
          <w:szCs w:val="24"/>
          <w:lang w:val="en-ID"/>
        </w:rPr>
        <w:t>Journal of Environmental Policy &amp; Planning, 26</w:t>
      </w:r>
      <w:r w:rsidRPr="00312EA8">
        <w:rPr>
          <w:rFonts w:asciiTheme="majorBidi" w:hAnsiTheme="majorBidi" w:cstheme="majorBidi"/>
          <w:noProof/>
          <w:sz w:val="24"/>
          <w:szCs w:val="24"/>
          <w:lang w:val="en-ID"/>
        </w:rPr>
        <w:t xml:space="preserve">(2), 173–187. </w:t>
      </w:r>
      <w:hyperlink r:id="rId13" w:tgtFrame="_new" w:history="1">
        <w:r w:rsidRPr="00312EA8">
          <w:rPr>
            <w:rStyle w:val="Hyperlink"/>
            <w:rFonts w:asciiTheme="majorBidi" w:hAnsiTheme="majorBidi" w:cstheme="majorBidi"/>
            <w:noProof/>
            <w:sz w:val="24"/>
            <w:szCs w:val="24"/>
            <w:lang w:val="en-ID"/>
          </w:rPr>
          <w:t>https://doi.org/10.1080/1523908X.2024.2317793</w:t>
        </w:r>
      </w:hyperlink>
    </w:p>
    <w:p w14:paraId="32163751" w14:textId="67726C2A" w:rsidR="00312EA8" w:rsidRPr="00312EA8" w:rsidRDefault="00312EA8"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de Araujo Meirelles Magalhães, F., &amp; Calle, I. M. (2023). Consumer Protection in the Digital Age: A Reflection on Regulation 2022/2065 (Digital Services Act—DSA) and Agenda 2030. </w:t>
      </w:r>
      <w:r w:rsidRPr="00312EA8">
        <w:rPr>
          <w:rFonts w:asciiTheme="majorBidi" w:hAnsiTheme="majorBidi" w:cstheme="majorBidi"/>
          <w:i/>
          <w:iCs/>
          <w:noProof/>
          <w:sz w:val="24"/>
          <w:szCs w:val="24"/>
        </w:rPr>
        <w:t>International Conference a Digital Europe for Citizens, Data Governance, Digital Markets, Digital Services</w:t>
      </w:r>
      <w:r w:rsidRPr="00312EA8">
        <w:rPr>
          <w:rFonts w:asciiTheme="majorBidi" w:hAnsiTheme="majorBidi" w:cstheme="majorBidi"/>
          <w:noProof/>
          <w:sz w:val="24"/>
          <w:szCs w:val="24"/>
        </w:rPr>
        <w:t>, 171–188.</w:t>
      </w:r>
    </w:p>
    <w:p w14:paraId="297CCCBC"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De Fina, A., &amp; Georgakopoulou, A. (Eds.). (2020). </w:t>
      </w:r>
      <w:r w:rsidRPr="00C51F3C">
        <w:rPr>
          <w:rFonts w:asciiTheme="majorBidi" w:hAnsiTheme="majorBidi" w:cstheme="majorBidi"/>
          <w:i/>
          <w:iCs/>
          <w:noProof/>
          <w:sz w:val="24"/>
          <w:szCs w:val="24"/>
        </w:rPr>
        <w:t>The Cambridge handbook of discourse studies</w:t>
      </w:r>
      <w:r w:rsidRPr="00C51F3C">
        <w:rPr>
          <w:rFonts w:asciiTheme="majorBidi" w:hAnsiTheme="majorBidi" w:cstheme="majorBidi"/>
          <w:noProof/>
          <w:sz w:val="24"/>
          <w:szCs w:val="24"/>
        </w:rPr>
        <w:t xml:space="preserve">. Cambridge University Press. </w:t>
      </w:r>
      <w:hyperlink r:id="rId14" w:tgtFrame="_new" w:history="1">
        <w:r w:rsidRPr="00C51F3C">
          <w:rPr>
            <w:rStyle w:val="Hyperlink"/>
            <w:rFonts w:asciiTheme="majorBidi" w:hAnsiTheme="majorBidi" w:cstheme="majorBidi"/>
            <w:noProof/>
            <w:sz w:val="24"/>
            <w:szCs w:val="24"/>
          </w:rPr>
          <w:t>https://doi.org/10.1017/9781108348195</w:t>
        </w:r>
      </w:hyperlink>
    </w:p>
    <w:p w14:paraId="33C70657"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Ercan, S. A., Durnová, A., Loeber, A., &amp; Wagenaar, H. (2020). Symposium: Revisiting the three pillars of Deliberative Policy Analysis. </w:t>
      </w:r>
      <w:r w:rsidRPr="00C51F3C">
        <w:rPr>
          <w:rFonts w:asciiTheme="majorBidi" w:hAnsiTheme="majorBidi" w:cstheme="majorBidi"/>
          <w:i/>
          <w:iCs/>
          <w:noProof/>
          <w:sz w:val="24"/>
          <w:szCs w:val="24"/>
        </w:rPr>
        <w:t>Policy Studies, 41</w:t>
      </w:r>
      <w:r w:rsidRPr="00C51F3C">
        <w:rPr>
          <w:rFonts w:asciiTheme="majorBidi" w:hAnsiTheme="majorBidi" w:cstheme="majorBidi"/>
          <w:noProof/>
          <w:sz w:val="24"/>
          <w:szCs w:val="24"/>
        </w:rPr>
        <w:t xml:space="preserve">(4), 307–330. </w:t>
      </w:r>
      <w:hyperlink r:id="rId15" w:tgtFrame="_new" w:history="1">
        <w:r w:rsidRPr="00C51F3C">
          <w:rPr>
            <w:rStyle w:val="Hyperlink"/>
            <w:rFonts w:asciiTheme="majorBidi" w:hAnsiTheme="majorBidi" w:cstheme="majorBidi"/>
            <w:noProof/>
            <w:sz w:val="24"/>
            <w:szCs w:val="24"/>
          </w:rPr>
          <w:t>https://doi.org/10.1080/01442872.2020.1774147</w:t>
        </w:r>
      </w:hyperlink>
    </w:p>
    <w:p w14:paraId="754AFA5D"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Eriyanto, null. (2022). </w:t>
      </w:r>
      <w:r w:rsidRPr="00C51F3C">
        <w:rPr>
          <w:rFonts w:asciiTheme="majorBidi" w:hAnsiTheme="majorBidi" w:cstheme="majorBidi"/>
          <w:i/>
          <w:iCs/>
          <w:noProof/>
          <w:sz w:val="24"/>
          <w:szCs w:val="24"/>
        </w:rPr>
        <w:t>Discourse network analysis: Concepts, methods and applications for communication and other social science research</w:t>
      </w:r>
      <w:r w:rsidRPr="00C51F3C">
        <w:rPr>
          <w:rFonts w:asciiTheme="majorBidi" w:hAnsiTheme="majorBidi" w:cstheme="majorBidi"/>
          <w:noProof/>
          <w:sz w:val="24"/>
          <w:szCs w:val="24"/>
        </w:rPr>
        <w:t xml:space="preserve">. PT Remaja Rosdakarya. </w:t>
      </w:r>
      <w:hyperlink r:id="rId16" w:tgtFrame="_new" w:history="1">
        <w:r w:rsidRPr="00C51F3C">
          <w:rPr>
            <w:rStyle w:val="Hyperlink"/>
            <w:rFonts w:asciiTheme="majorBidi" w:hAnsiTheme="majorBidi" w:cstheme="majorBidi"/>
            <w:noProof/>
            <w:sz w:val="24"/>
            <w:szCs w:val="24"/>
          </w:rPr>
          <w:t>https://opac.perpusnas.go.id/DetailOpac.aspx?id=1509128</w:t>
        </w:r>
      </w:hyperlink>
    </w:p>
    <w:p w14:paraId="5873BBEB" w14:textId="77777777"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Eriyanto, &amp; Ali, D. J. (2020). Discourse network of a public issue debate: A study on covid-19 cases in Indonesia. </w:t>
      </w:r>
      <w:r w:rsidRPr="00C51F3C">
        <w:rPr>
          <w:rFonts w:asciiTheme="majorBidi" w:hAnsiTheme="majorBidi" w:cstheme="majorBidi"/>
          <w:i/>
          <w:iCs/>
          <w:noProof/>
          <w:sz w:val="24"/>
          <w:szCs w:val="24"/>
        </w:rPr>
        <w:t>Jurnal Komunikasi: Malaysian Journal of Communication, 36</w:t>
      </w:r>
      <w:r w:rsidRPr="00C51F3C">
        <w:rPr>
          <w:rFonts w:asciiTheme="majorBidi" w:hAnsiTheme="majorBidi" w:cstheme="majorBidi"/>
          <w:noProof/>
          <w:sz w:val="24"/>
          <w:szCs w:val="24"/>
        </w:rPr>
        <w:t xml:space="preserve">(3), 209–227. </w:t>
      </w:r>
      <w:hyperlink r:id="rId17" w:tgtFrame="_new" w:history="1">
        <w:r w:rsidRPr="00C51F3C">
          <w:rPr>
            <w:rStyle w:val="Hyperlink"/>
            <w:rFonts w:asciiTheme="majorBidi" w:hAnsiTheme="majorBidi" w:cstheme="majorBidi"/>
            <w:noProof/>
            <w:sz w:val="24"/>
            <w:szCs w:val="24"/>
          </w:rPr>
          <w:t>https://doi.org/10.17576/jkmjc-2020-3603-13</w:t>
        </w:r>
      </w:hyperlink>
    </w:p>
    <w:p w14:paraId="027EE9E9" w14:textId="0B9E4C63" w:rsidR="00312EA8" w:rsidRPr="00C51F3C" w:rsidRDefault="00312EA8"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Ghadge, N. (2024). Challenges with securing digital identity. </w:t>
      </w:r>
      <w:r w:rsidRPr="00312EA8">
        <w:rPr>
          <w:rFonts w:asciiTheme="majorBidi" w:hAnsiTheme="majorBidi" w:cstheme="majorBidi"/>
          <w:i/>
          <w:iCs/>
          <w:noProof/>
          <w:sz w:val="24"/>
          <w:szCs w:val="24"/>
        </w:rPr>
        <w:t>International Journal on Cybernetics &amp; Informatics (IJCI)</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13</w:t>
      </w:r>
      <w:r w:rsidRPr="00312EA8">
        <w:rPr>
          <w:rFonts w:asciiTheme="majorBidi" w:hAnsiTheme="majorBidi" w:cstheme="majorBidi"/>
          <w:noProof/>
          <w:sz w:val="24"/>
          <w:szCs w:val="24"/>
        </w:rPr>
        <w:t>(13), 1.</w:t>
      </w:r>
    </w:p>
    <w:p w14:paraId="6AFD0334"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Gielens, E., Roosma, F., &amp; Achterberg, P. (2025). Between left and right: A discourse network analysis of Universal Basic Income on Dutch Twitter. </w:t>
      </w:r>
      <w:r w:rsidRPr="00C51F3C">
        <w:rPr>
          <w:rFonts w:asciiTheme="majorBidi" w:hAnsiTheme="majorBidi" w:cstheme="majorBidi"/>
          <w:i/>
          <w:iCs/>
          <w:noProof/>
          <w:sz w:val="24"/>
          <w:szCs w:val="24"/>
        </w:rPr>
        <w:t>Journal of Social Policy, 54</w:t>
      </w:r>
      <w:r w:rsidRPr="00C51F3C">
        <w:rPr>
          <w:rFonts w:asciiTheme="majorBidi" w:hAnsiTheme="majorBidi" w:cstheme="majorBidi"/>
          <w:noProof/>
          <w:sz w:val="24"/>
          <w:szCs w:val="24"/>
        </w:rPr>
        <w:t xml:space="preserve">(3), 939–960. </w:t>
      </w:r>
      <w:hyperlink r:id="rId18" w:tgtFrame="_new" w:history="1">
        <w:r w:rsidRPr="00C51F3C">
          <w:rPr>
            <w:rStyle w:val="Hyperlink"/>
            <w:rFonts w:asciiTheme="majorBidi" w:hAnsiTheme="majorBidi" w:cstheme="majorBidi"/>
            <w:noProof/>
            <w:sz w:val="24"/>
            <w:szCs w:val="24"/>
          </w:rPr>
          <w:t>https://doi.org/10.1017/S0047279422000976</w:t>
        </w:r>
      </w:hyperlink>
    </w:p>
    <w:p w14:paraId="0770E41F"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Hajer, M. (1993). Discourse-coalitions and the institutionalisation of practice: The case of acid rain in Britain. In J. Forester &amp; F. Fischer (Eds.), </w:t>
      </w:r>
      <w:r w:rsidRPr="00C51F3C">
        <w:rPr>
          <w:rFonts w:asciiTheme="majorBidi" w:hAnsiTheme="majorBidi" w:cstheme="majorBidi"/>
          <w:i/>
          <w:iCs/>
          <w:noProof/>
          <w:sz w:val="24"/>
          <w:szCs w:val="24"/>
        </w:rPr>
        <w:t>The argumentative turn in policy sciences and planning</w:t>
      </w:r>
      <w:r w:rsidRPr="00C51F3C">
        <w:rPr>
          <w:rFonts w:asciiTheme="majorBidi" w:hAnsiTheme="majorBidi" w:cstheme="majorBidi"/>
          <w:noProof/>
          <w:sz w:val="24"/>
          <w:szCs w:val="24"/>
        </w:rPr>
        <w:t xml:space="preserve"> (pp. 93–114). Duke University Press.</w:t>
      </w:r>
    </w:p>
    <w:p w14:paraId="10EC210D"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Hajer, M. (1997). </w:t>
      </w:r>
      <w:r w:rsidRPr="00C51F3C">
        <w:rPr>
          <w:rFonts w:asciiTheme="majorBidi" w:hAnsiTheme="majorBidi" w:cstheme="majorBidi"/>
          <w:i/>
          <w:iCs/>
          <w:noProof/>
          <w:sz w:val="24"/>
          <w:szCs w:val="24"/>
        </w:rPr>
        <w:t>The politics of environmental discourse: Ecological modernization and the policy process</w:t>
      </w:r>
      <w:r w:rsidRPr="00C51F3C">
        <w:rPr>
          <w:rFonts w:asciiTheme="majorBidi" w:hAnsiTheme="majorBidi" w:cstheme="majorBidi"/>
          <w:noProof/>
          <w:sz w:val="24"/>
          <w:szCs w:val="24"/>
        </w:rPr>
        <w:t xml:space="preserve">. The Politics of Environmental Discourse: Ecological Modernization and the Policy Process. </w:t>
      </w:r>
      <w:hyperlink r:id="rId19" w:tgtFrame="_new" w:history="1">
        <w:r w:rsidRPr="00C51F3C">
          <w:rPr>
            <w:rStyle w:val="Hyperlink"/>
            <w:rFonts w:asciiTheme="majorBidi" w:hAnsiTheme="majorBidi" w:cstheme="majorBidi"/>
            <w:noProof/>
            <w:sz w:val="24"/>
            <w:szCs w:val="24"/>
          </w:rPr>
          <w:t>https://doi.org/10.1093/019829333X.001.0001</w:t>
        </w:r>
      </w:hyperlink>
    </w:p>
    <w:p w14:paraId="4DBCB482"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Hajer, M. (2002). Discourse analysis and the study of policy making. </w:t>
      </w:r>
      <w:r w:rsidRPr="00C51F3C">
        <w:rPr>
          <w:rFonts w:asciiTheme="majorBidi" w:hAnsiTheme="majorBidi" w:cstheme="majorBidi"/>
          <w:i/>
          <w:iCs/>
          <w:noProof/>
          <w:sz w:val="24"/>
          <w:szCs w:val="24"/>
        </w:rPr>
        <w:t>European Political Science, 2</w:t>
      </w:r>
      <w:r w:rsidRPr="00C51F3C">
        <w:rPr>
          <w:rFonts w:asciiTheme="majorBidi" w:hAnsiTheme="majorBidi" w:cstheme="majorBidi"/>
          <w:noProof/>
          <w:sz w:val="24"/>
          <w:szCs w:val="24"/>
        </w:rPr>
        <w:t xml:space="preserve">(1), 61–65. </w:t>
      </w:r>
      <w:hyperlink r:id="rId20" w:tgtFrame="_new" w:history="1">
        <w:r w:rsidRPr="00C51F3C">
          <w:rPr>
            <w:rStyle w:val="Hyperlink"/>
            <w:rFonts w:asciiTheme="majorBidi" w:hAnsiTheme="majorBidi" w:cstheme="majorBidi"/>
            <w:noProof/>
            <w:sz w:val="24"/>
            <w:szCs w:val="24"/>
          </w:rPr>
          <w:t>https://doi.org/10.1057/eps.2002.49</w:t>
        </w:r>
      </w:hyperlink>
    </w:p>
    <w:p w14:paraId="5B65AF53" w14:textId="77777777"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Hajer, M., &amp; Versteeg, W. (2005). A decade of discourse analysis of environmental politics: Achievements, challenges, perspectives. </w:t>
      </w:r>
      <w:r w:rsidRPr="00C51F3C">
        <w:rPr>
          <w:rFonts w:asciiTheme="majorBidi" w:hAnsiTheme="majorBidi" w:cstheme="majorBidi"/>
          <w:i/>
          <w:iCs/>
          <w:noProof/>
          <w:sz w:val="24"/>
          <w:szCs w:val="24"/>
        </w:rPr>
        <w:t>Journal of Environmental Policy &amp; Planning, 7</w:t>
      </w:r>
      <w:r w:rsidRPr="00C51F3C">
        <w:rPr>
          <w:rFonts w:asciiTheme="majorBidi" w:hAnsiTheme="majorBidi" w:cstheme="majorBidi"/>
          <w:noProof/>
          <w:sz w:val="24"/>
          <w:szCs w:val="24"/>
        </w:rPr>
        <w:t xml:space="preserve">(3), 175–184. </w:t>
      </w:r>
      <w:hyperlink r:id="rId21" w:tgtFrame="_new" w:history="1">
        <w:r w:rsidRPr="00C51F3C">
          <w:rPr>
            <w:rStyle w:val="Hyperlink"/>
            <w:rFonts w:asciiTheme="majorBidi" w:hAnsiTheme="majorBidi" w:cstheme="majorBidi"/>
            <w:noProof/>
            <w:sz w:val="24"/>
            <w:szCs w:val="24"/>
          </w:rPr>
          <w:t>https://doi.org/10.1080/15239080500339646</w:t>
        </w:r>
      </w:hyperlink>
    </w:p>
    <w:p w14:paraId="38B6757E" w14:textId="32B3FD56" w:rsidR="00312EA8" w:rsidRPr="00312EA8" w:rsidRDefault="00312EA8"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Hartanti, N. B., Prabowo, H., Pradini, P. S., &amp; Prawata, A. (2024). Digital-Driven Public Space Design and Creative Placemaking for Enhancing Urban Resilience and Community </w:t>
      </w:r>
      <w:r w:rsidRPr="00312EA8">
        <w:rPr>
          <w:rFonts w:asciiTheme="majorBidi" w:hAnsiTheme="majorBidi" w:cstheme="majorBidi"/>
          <w:noProof/>
          <w:sz w:val="24"/>
          <w:szCs w:val="24"/>
        </w:rPr>
        <w:lastRenderedPageBreak/>
        <w:t xml:space="preserve">Well-Being in Indonesia Understanding Global Digital Era Technologies and Transformations in Social, Environment, Peace &amp; Business Development Perspectives in Society ed MA Tarar and L Walambuka. </w:t>
      </w:r>
      <w:r w:rsidRPr="00312EA8">
        <w:rPr>
          <w:rFonts w:asciiTheme="majorBidi" w:hAnsiTheme="majorBidi" w:cstheme="majorBidi"/>
          <w:i/>
          <w:iCs/>
          <w:noProof/>
          <w:sz w:val="24"/>
          <w:szCs w:val="24"/>
        </w:rPr>
        <w:t>Understanding Global Digital Era Technologies and Transformations in Social, Environment, Peace &amp; Business Development Perspectives in Society</w:t>
      </w:r>
      <w:r w:rsidRPr="00312EA8">
        <w:rPr>
          <w:rFonts w:asciiTheme="majorBidi" w:hAnsiTheme="majorBidi" w:cstheme="majorBidi"/>
          <w:noProof/>
          <w:sz w:val="24"/>
          <w:szCs w:val="24"/>
        </w:rPr>
        <w:t>, 171–190.</w:t>
      </w:r>
    </w:p>
    <w:p w14:paraId="0076B1EA" w14:textId="1FFF6440" w:rsidR="00312EA8" w:rsidRPr="00312EA8" w:rsidRDefault="00312EA8"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Jost, J. T., Barberá, P., Bonneau, R., Langer, M., Metzger, M., Nagler, J., Sterling, J., &amp; Tucker, J. A. (2018). How social media facilitates political protest: Information, motivation, and social networks. </w:t>
      </w:r>
      <w:r w:rsidRPr="00312EA8">
        <w:rPr>
          <w:rFonts w:asciiTheme="majorBidi" w:hAnsiTheme="majorBidi" w:cstheme="majorBidi"/>
          <w:i/>
          <w:iCs/>
          <w:noProof/>
          <w:sz w:val="24"/>
          <w:szCs w:val="24"/>
        </w:rPr>
        <w:t>Political Psychology</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39</w:t>
      </w:r>
      <w:r w:rsidRPr="00312EA8">
        <w:rPr>
          <w:rFonts w:asciiTheme="majorBidi" w:hAnsiTheme="majorBidi" w:cstheme="majorBidi"/>
          <w:noProof/>
          <w:sz w:val="24"/>
          <w:szCs w:val="24"/>
        </w:rPr>
        <w:t>, 85–118.</w:t>
      </w:r>
    </w:p>
    <w:p w14:paraId="687AD240" w14:textId="2D812FFB" w:rsidR="00312EA8" w:rsidRPr="00C51F3C" w:rsidRDefault="00312EA8"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KhosraviNik, M. (2017). Social media critical discourse studies (SM-CDS). In </w:t>
      </w:r>
      <w:r w:rsidRPr="00312EA8">
        <w:rPr>
          <w:rFonts w:asciiTheme="majorBidi" w:hAnsiTheme="majorBidi" w:cstheme="majorBidi"/>
          <w:i/>
          <w:iCs/>
          <w:noProof/>
          <w:sz w:val="24"/>
          <w:szCs w:val="24"/>
        </w:rPr>
        <w:t>The Routledge handbook of critical discourse studies</w:t>
      </w:r>
      <w:r w:rsidRPr="00312EA8">
        <w:rPr>
          <w:rFonts w:asciiTheme="majorBidi" w:hAnsiTheme="majorBidi" w:cstheme="majorBidi"/>
          <w:noProof/>
          <w:sz w:val="24"/>
          <w:szCs w:val="24"/>
        </w:rPr>
        <w:t xml:space="preserve"> (pp. 582–596). Routledge.</w:t>
      </w:r>
    </w:p>
    <w:p w14:paraId="6703E3A8" w14:textId="77777777"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Krishna, S. (2020, September 16). Full article: Digital identity, datafication and social justice: Understanding Aadhaar use among informal workers in South India. </w:t>
      </w:r>
      <w:r w:rsidRPr="00C51F3C">
        <w:rPr>
          <w:rFonts w:asciiTheme="majorBidi" w:hAnsiTheme="majorBidi" w:cstheme="majorBidi"/>
          <w:i/>
          <w:iCs/>
          <w:noProof/>
          <w:sz w:val="24"/>
          <w:szCs w:val="24"/>
        </w:rPr>
        <w:t>International Journal of Communication, 14</w:t>
      </w:r>
      <w:r w:rsidRPr="00C51F3C">
        <w:rPr>
          <w:rFonts w:asciiTheme="majorBidi" w:hAnsiTheme="majorBidi" w:cstheme="majorBidi"/>
          <w:noProof/>
          <w:sz w:val="24"/>
          <w:szCs w:val="24"/>
        </w:rPr>
        <w:t xml:space="preserve">(1). </w:t>
      </w:r>
      <w:hyperlink r:id="rId22" w:tgtFrame="_new" w:history="1">
        <w:r w:rsidRPr="00C51F3C">
          <w:rPr>
            <w:rStyle w:val="Hyperlink"/>
            <w:rFonts w:asciiTheme="majorBidi" w:hAnsiTheme="majorBidi" w:cstheme="majorBidi"/>
            <w:noProof/>
            <w:sz w:val="24"/>
            <w:szCs w:val="24"/>
          </w:rPr>
          <w:t>https://remote-lib.ui.ac.id:2216/doi/full/10.1080/02681102.2020.1818544</w:t>
        </w:r>
      </w:hyperlink>
    </w:p>
    <w:p w14:paraId="533E6148" w14:textId="3C4D96EC"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Lareki, A., Altuna, J., &amp; Martínez-de-Morentin, J.-I. (2023). Fake digital identity and cyberbullying. </w:t>
      </w:r>
      <w:r w:rsidRPr="00312EA8">
        <w:rPr>
          <w:rFonts w:asciiTheme="majorBidi" w:hAnsiTheme="majorBidi" w:cstheme="majorBidi"/>
          <w:i/>
          <w:iCs/>
          <w:noProof/>
          <w:sz w:val="24"/>
          <w:szCs w:val="24"/>
        </w:rPr>
        <w:t>Media, Culture &amp; Society</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45</w:t>
      </w:r>
      <w:r w:rsidRPr="00312EA8">
        <w:rPr>
          <w:rFonts w:asciiTheme="majorBidi" w:hAnsiTheme="majorBidi" w:cstheme="majorBidi"/>
          <w:noProof/>
          <w:sz w:val="24"/>
          <w:szCs w:val="24"/>
        </w:rPr>
        <w:t>(2), 338–353.</w:t>
      </w:r>
    </w:p>
    <w:p w14:paraId="1B41A270"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Leifeld, P. (2017). Discourse network analysis: Policy debates as dynamic networks. In J. N. Victor, A. H. Montgomery, &amp; M. Lubell (Eds.), </w:t>
      </w:r>
      <w:r w:rsidRPr="00C51F3C">
        <w:rPr>
          <w:rFonts w:asciiTheme="majorBidi" w:hAnsiTheme="majorBidi" w:cstheme="majorBidi"/>
          <w:i/>
          <w:iCs/>
          <w:noProof/>
          <w:sz w:val="24"/>
          <w:szCs w:val="24"/>
        </w:rPr>
        <w:t>The Oxford handbook of political networks</w:t>
      </w:r>
      <w:r w:rsidRPr="00C51F3C">
        <w:rPr>
          <w:rFonts w:asciiTheme="majorBidi" w:hAnsiTheme="majorBidi" w:cstheme="majorBidi"/>
          <w:noProof/>
          <w:sz w:val="24"/>
          <w:szCs w:val="24"/>
        </w:rPr>
        <w:t xml:space="preserve"> (pp. 0). Oxford University Press. </w:t>
      </w:r>
      <w:hyperlink r:id="rId23" w:tgtFrame="_new" w:history="1">
        <w:r w:rsidRPr="00C51F3C">
          <w:rPr>
            <w:rStyle w:val="Hyperlink"/>
            <w:rFonts w:asciiTheme="majorBidi" w:hAnsiTheme="majorBidi" w:cstheme="majorBidi"/>
            <w:noProof/>
            <w:sz w:val="24"/>
            <w:szCs w:val="24"/>
          </w:rPr>
          <w:t>https://doi.org/10.1093/oxfordhb/9780190228217.013.25</w:t>
        </w:r>
      </w:hyperlink>
    </w:p>
    <w:p w14:paraId="40016693"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Leifeld, P. (2020). Policy debates and discourse network analysis: A research agenda. </w:t>
      </w:r>
      <w:r w:rsidRPr="00C51F3C">
        <w:rPr>
          <w:rFonts w:asciiTheme="majorBidi" w:hAnsiTheme="majorBidi" w:cstheme="majorBidi"/>
          <w:i/>
          <w:iCs/>
          <w:noProof/>
          <w:sz w:val="24"/>
          <w:szCs w:val="24"/>
        </w:rPr>
        <w:t>Politics and Governance, 8</w:t>
      </w:r>
      <w:r w:rsidRPr="00C51F3C">
        <w:rPr>
          <w:rFonts w:asciiTheme="majorBidi" w:hAnsiTheme="majorBidi" w:cstheme="majorBidi"/>
          <w:noProof/>
          <w:sz w:val="24"/>
          <w:szCs w:val="24"/>
        </w:rPr>
        <w:t xml:space="preserve">(2), 180–183. </w:t>
      </w:r>
      <w:hyperlink r:id="rId24" w:tgtFrame="_new" w:history="1">
        <w:r w:rsidRPr="00C51F3C">
          <w:rPr>
            <w:rStyle w:val="Hyperlink"/>
            <w:rFonts w:asciiTheme="majorBidi" w:hAnsiTheme="majorBidi" w:cstheme="majorBidi"/>
            <w:noProof/>
            <w:sz w:val="24"/>
            <w:szCs w:val="24"/>
          </w:rPr>
          <w:t>https://doi.org/10.17645/pag.v8i2.3249</w:t>
        </w:r>
      </w:hyperlink>
    </w:p>
    <w:p w14:paraId="10C8DE9C"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Leifeld, P., &amp; Schneider, V. (2012). Information exchange in policy networks. </w:t>
      </w:r>
      <w:r w:rsidRPr="00C51F3C">
        <w:rPr>
          <w:rFonts w:asciiTheme="majorBidi" w:hAnsiTheme="majorBidi" w:cstheme="majorBidi"/>
          <w:i/>
          <w:iCs/>
          <w:noProof/>
          <w:sz w:val="24"/>
          <w:szCs w:val="24"/>
        </w:rPr>
        <w:t>American Journal of Political Science, 56</w:t>
      </w:r>
      <w:r w:rsidRPr="00C51F3C">
        <w:rPr>
          <w:rFonts w:asciiTheme="majorBidi" w:hAnsiTheme="majorBidi" w:cstheme="majorBidi"/>
          <w:noProof/>
          <w:sz w:val="24"/>
          <w:szCs w:val="24"/>
        </w:rPr>
        <w:t xml:space="preserve">(3), 731–744. </w:t>
      </w:r>
      <w:hyperlink r:id="rId25" w:tgtFrame="_new" w:history="1">
        <w:r w:rsidRPr="00C51F3C">
          <w:rPr>
            <w:rStyle w:val="Hyperlink"/>
            <w:rFonts w:asciiTheme="majorBidi" w:hAnsiTheme="majorBidi" w:cstheme="majorBidi"/>
            <w:noProof/>
            <w:sz w:val="24"/>
            <w:szCs w:val="24"/>
          </w:rPr>
          <w:t>https://doi.org/10.1111/j.1540-5907.2011.00580.x</w:t>
        </w:r>
      </w:hyperlink>
    </w:p>
    <w:p w14:paraId="0510CBE9" w14:textId="77777777"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Murti, D. C. W., &amp; Nur Ratriyana, I. (2022). The playground of big tobacco? Discourse network analysis of the cigarette advertising debate and policy in Indonesia. </w:t>
      </w:r>
      <w:r w:rsidRPr="00C51F3C">
        <w:rPr>
          <w:rFonts w:asciiTheme="majorBidi" w:hAnsiTheme="majorBidi" w:cstheme="majorBidi"/>
          <w:i/>
          <w:iCs/>
          <w:noProof/>
          <w:sz w:val="24"/>
          <w:szCs w:val="24"/>
        </w:rPr>
        <w:t>Journal of Communication Inquiry, 46</w:t>
      </w:r>
      <w:r w:rsidRPr="00C51F3C">
        <w:rPr>
          <w:rFonts w:asciiTheme="majorBidi" w:hAnsiTheme="majorBidi" w:cstheme="majorBidi"/>
          <w:noProof/>
          <w:sz w:val="24"/>
          <w:szCs w:val="24"/>
        </w:rPr>
        <w:t xml:space="preserve">(3), 209–227. </w:t>
      </w:r>
      <w:hyperlink r:id="rId26" w:tgtFrame="_new" w:history="1">
        <w:r w:rsidRPr="00C51F3C">
          <w:rPr>
            <w:rStyle w:val="Hyperlink"/>
            <w:rFonts w:asciiTheme="majorBidi" w:hAnsiTheme="majorBidi" w:cstheme="majorBidi"/>
            <w:noProof/>
            <w:sz w:val="24"/>
            <w:szCs w:val="24"/>
          </w:rPr>
          <w:t>https://doi.org/10.1177/01968599211072438</w:t>
        </w:r>
      </w:hyperlink>
    </w:p>
    <w:p w14:paraId="6996FC91" w14:textId="013F6014"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Panjaitan, T. W. S., Pojani, D., &amp; Darchen, S. (2022). The transformation of public space production and consumption in post-reformation Indonesian cities. </w:t>
      </w:r>
      <w:r w:rsidRPr="00312EA8">
        <w:rPr>
          <w:rFonts w:asciiTheme="majorBidi" w:hAnsiTheme="majorBidi" w:cstheme="majorBidi"/>
          <w:i/>
          <w:iCs/>
          <w:noProof/>
          <w:sz w:val="24"/>
          <w:szCs w:val="24"/>
        </w:rPr>
        <w:t>City, Culture and Society</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29</w:t>
      </w:r>
      <w:r w:rsidRPr="00312EA8">
        <w:rPr>
          <w:rFonts w:asciiTheme="majorBidi" w:hAnsiTheme="majorBidi" w:cstheme="majorBidi"/>
          <w:noProof/>
          <w:sz w:val="24"/>
          <w:szCs w:val="24"/>
        </w:rPr>
        <w:t>, 100444.</w:t>
      </w:r>
    </w:p>
    <w:p w14:paraId="706B56D3"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Patria, N., Irawanto, B., &amp; Abrar, A. N. (2025). “(Don’t) Stop the rising oil price”: Mediatization, digital discourse, and fuel price controversies in Indonesian online media. </w:t>
      </w:r>
      <w:r w:rsidRPr="00C51F3C">
        <w:rPr>
          <w:rFonts w:asciiTheme="majorBidi" w:hAnsiTheme="majorBidi" w:cstheme="majorBidi"/>
          <w:i/>
          <w:iCs/>
          <w:noProof/>
          <w:sz w:val="24"/>
          <w:szCs w:val="24"/>
        </w:rPr>
        <w:t>Journalism and Media, 6</w:t>
      </w:r>
      <w:r w:rsidRPr="00C51F3C">
        <w:rPr>
          <w:rFonts w:asciiTheme="majorBidi" w:hAnsiTheme="majorBidi" w:cstheme="majorBidi"/>
          <w:noProof/>
          <w:sz w:val="24"/>
          <w:szCs w:val="24"/>
        </w:rPr>
        <w:t xml:space="preserve">(3), 124. </w:t>
      </w:r>
      <w:hyperlink r:id="rId27" w:tgtFrame="_new" w:history="1">
        <w:r w:rsidRPr="00C51F3C">
          <w:rPr>
            <w:rStyle w:val="Hyperlink"/>
            <w:rFonts w:asciiTheme="majorBidi" w:hAnsiTheme="majorBidi" w:cstheme="majorBidi"/>
            <w:noProof/>
            <w:sz w:val="24"/>
            <w:szCs w:val="24"/>
          </w:rPr>
          <w:t>https://doi.org/10.3390/journalmedia6030124</w:t>
        </w:r>
      </w:hyperlink>
    </w:p>
    <w:p w14:paraId="60EECACC" w14:textId="77777777"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Swarnakar, P., Shukla, R., &amp; Broadbent, J. (2022). Beliefs and networks: Mapping the Indian climate policy discourse surrounding the Paris Climate Change Conference in 2015. </w:t>
      </w:r>
      <w:r w:rsidRPr="00C51F3C">
        <w:rPr>
          <w:rFonts w:asciiTheme="majorBidi" w:hAnsiTheme="majorBidi" w:cstheme="majorBidi"/>
          <w:i/>
          <w:iCs/>
          <w:noProof/>
          <w:sz w:val="24"/>
          <w:szCs w:val="24"/>
        </w:rPr>
        <w:t>Environmental Communication, 16</w:t>
      </w:r>
      <w:r w:rsidRPr="00C51F3C">
        <w:rPr>
          <w:rFonts w:asciiTheme="majorBidi" w:hAnsiTheme="majorBidi" w:cstheme="majorBidi"/>
          <w:noProof/>
          <w:sz w:val="24"/>
          <w:szCs w:val="24"/>
        </w:rPr>
        <w:t xml:space="preserve">(2), 145–162. </w:t>
      </w:r>
      <w:hyperlink r:id="rId28" w:tgtFrame="_new" w:history="1">
        <w:r w:rsidRPr="00C51F3C">
          <w:rPr>
            <w:rStyle w:val="Hyperlink"/>
            <w:rFonts w:asciiTheme="majorBidi" w:hAnsiTheme="majorBidi" w:cstheme="majorBidi"/>
            <w:noProof/>
            <w:sz w:val="24"/>
            <w:szCs w:val="24"/>
          </w:rPr>
          <w:t>https://doi.org/10.1080/17524032.2021.1973528</w:t>
        </w:r>
      </w:hyperlink>
    </w:p>
    <w:p w14:paraId="590E09EC" w14:textId="27F2F19B" w:rsidR="00C51F3C" w:rsidRPr="00312EA8"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Unger, J. W. (2026). Critical Discourse Studies and the rise of social media: Methodological debates and challenges. In </w:t>
      </w:r>
      <w:r w:rsidRPr="00312EA8">
        <w:rPr>
          <w:rFonts w:asciiTheme="majorBidi" w:hAnsiTheme="majorBidi" w:cstheme="majorBidi"/>
          <w:i/>
          <w:iCs/>
          <w:noProof/>
          <w:sz w:val="24"/>
          <w:szCs w:val="24"/>
        </w:rPr>
        <w:t>Handbook on Critical Discourse Studies</w:t>
      </w:r>
      <w:r w:rsidRPr="00312EA8">
        <w:rPr>
          <w:rFonts w:asciiTheme="majorBidi" w:hAnsiTheme="majorBidi" w:cstheme="majorBidi"/>
          <w:noProof/>
          <w:sz w:val="24"/>
          <w:szCs w:val="24"/>
        </w:rPr>
        <w:t xml:space="preserve"> (pp. 205–218). Edward Elgar Publishing.</w:t>
      </w:r>
    </w:p>
    <w:p w14:paraId="18662EBF" w14:textId="09E545E9"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312EA8">
        <w:rPr>
          <w:rFonts w:asciiTheme="majorBidi" w:hAnsiTheme="majorBidi" w:cstheme="majorBidi"/>
          <w:noProof/>
          <w:sz w:val="24"/>
          <w:szCs w:val="24"/>
        </w:rPr>
        <w:t xml:space="preserve">van Wee, B., Annema, J. A., &amp; van Barneveld, S. (2023). Controversial policies: growing support after implementation. A discussion paper. </w:t>
      </w:r>
      <w:r w:rsidRPr="00312EA8">
        <w:rPr>
          <w:rFonts w:asciiTheme="majorBidi" w:hAnsiTheme="majorBidi" w:cstheme="majorBidi"/>
          <w:i/>
          <w:iCs/>
          <w:noProof/>
          <w:sz w:val="24"/>
          <w:szCs w:val="24"/>
        </w:rPr>
        <w:t>Transport Policy</w:t>
      </w:r>
      <w:r w:rsidRPr="00312EA8">
        <w:rPr>
          <w:rFonts w:asciiTheme="majorBidi" w:hAnsiTheme="majorBidi" w:cstheme="majorBidi"/>
          <w:noProof/>
          <w:sz w:val="24"/>
          <w:szCs w:val="24"/>
        </w:rPr>
        <w:t xml:space="preserve">, </w:t>
      </w:r>
      <w:r w:rsidRPr="00312EA8">
        <w:rPr>
          <w:rFonts w:asciiTheme="majorBidi" w:hAnsiTheme="majorBidi" w:cstheme="majorBidi"/>
          <w:i/>
          <w:iCs/>
          <w:noProof/>
          <w:sz w:val="24"/>
          <w:szCs w:val="24"/>
        </w:rPr>
        <w:t>139</w:t>
      </w:r>
      <w:r w:rsidRPr="00312EA8">
        <w:rPr>
          <w:rFonts w:asciiTheme="majorBidi" w:hAnsiTheme="majorBidi" w:cstheme="majorBidi"/>
          <w:noProof/>
          <w:sz w:val="24"/>
          <w:szCs w:val="24"/>
        </w:rPr>
        <w:t>, 79–86.</w:t>
      </w:r>
    </w:p>
    <w:p w14:paraId="43E6CE8C" w14:textId="77777777" w:rsidR="00C51F3C" w:rsidRPr="00C51F3C" w:rsidRDefault="00C51F3C" w:rsidP="00312EA8">
      <w:pPr>
        <w:widowControl w:val="0"/>
        <w:autoSpaceDE w:val="0"/>
        <w:autoSpaceDN w:val="0"/>
        <w:adjustRightInd w:val="0"/>
        <w:spacing w:after="0" w:line="276" w:lineRule="auto"/>
        <w:ind w:left="720" w:hanging="720"/>
        <w:jc w:val="both"/>
        <w:rPr>
          <w:rFonts w:asciiTheme="majorBidi" w:hAnsiTheme="majorBidi" w:cstheme="majorBidi"/>
          <w:noProof/>
          <w:sz w:val="24"/>
          <w:szCs w:val="24"/>
        </w:rPr>
      </w:pPr>
      <w:r w:rsidRPr="00C51F3C">
        <w:rPr>
          <w:rFonts w:asciiTheme="majorBidi" w:hAnsiTheme="majorBidi" w:cstheme="majorBidi"/>
          <w:noProof/>
          <w:sz w:val="24"/>
          <w:szCs w:val="24"/>
        </w:rPr>
        <w:t xml:space="preserve">Wagenaar, H., &amp; Hendricks, C. (2021, April 13). The impact and ongoing development of </w:t>
      </w:r>
      <w:r w:rsidRPr="00C51F3C">
        <w:rPr>
          <w:rFonts w:asciiTheme="majorBidi" w:hAnsiTheme="majorBidi" w:cstheme="majorBidi"/>
          <w:noProof/>
          <w:sz w:val="24"/>
          <w:szCs w:val="24"/>
        </w:rPr>
        <w:lastRenderedPageBreak/>
        <w:t xml:space="preserve">deliberative policy analysis | Deliberative Democracy Digest. </w:t>
      </w:r>
      <w:hyperlink r:id="rId29" w:tgtFrame="_new" w:history="1">
        <w:r w:rsidRPr="00C51F3C">
          <w:rPr>
            <w:rStyle w:val="Hyperlink"/>
            <w:rFonts w:asciiTheme="majorBidi" w:hAnsiTheme="majorBidi" w:cstheme="majorBidi"/>
            <w:noProof/>
            <w:sz w:val="24"/>
            <w:szCs w:val="24"/>
          </w:rPr>
          <w:t>https://www.publicdeliberation.net/the-impact-and-ongoing-development-of-deliberative-policy-analysis/</w:t>
        </w:r>
      </w:hyperlink>
    </w:p>
    <w:p w14:paraId="402A84E7" w14:textId="088EB3EB" w:rsidR="00C51F3C" w:rsidRPr="00C51F3C" w:rsidRDefault="00C51F3C" w:rsidP="00C51F3C">
      <w:pPr>
        <w:widowControl w:val="0"/>
        <w:autoSpaceDE w:val="0"/>
        <w:autoSpaceDN w:val="0"/>
        <w:adjustRightInd w:val="0"/>
        <w:spacing w:after="0" w:line="240" w:lineRule="auto"/>
        <w:ind w:left="720" w:hanging="720"/>
        <w:jc w:val="both"/>
        <w:rPr>
          <w:rFonts w:ascii="Times New Roman" w:hAnsi="Times New Roman" w:cs="Times New Roman"/>
          <w:noProof/>
          <w:sz w:val="24"/>
        </w:rPr>
      </w:pPr>
    </w:p>
    <w:p w14:paraId="06999886" w14:textId="50F39E49" w:rsidR="00AD5DFB" w:rsidRPr="00DB0548" w:rsidRDefault="00C51F3C" w:rsidP="00AD5DFB">
      <w:pPr>
        <w:spacing w:after="0" w:line="276" w:lineRule="auto"/>
        <w:rPr>
          <w:rFonts w:ascii="Times New Roman" w:eastAsia="Georgia" w:hAnsi="Times New Roman" w:cs="Times New Roman"/>
          <w:b/>
          <w:bCs/>
          <w:sz w:val="24"/>
          <w:szCs w:val="24"/>
        </w:rPr>
      </w:pPr>
      <w:r>
        <w:rPr>
          <w:rFonts w:ascii="Times New Roman" w:eastAsia="Georgia" w:hAnsi="Times New Roman" w:cs="Times New Roman"/>
          <w:b/>
          <w:bCs/>
          <w:sz w:val="24"/>
          <w:szCs w:val="24"/>
        </w:rPr>
        <w:fldChar w:fldCharType="end"/>
      </w:r>
    </w:p>
    <w:p w14:paraId="091F62A7" w14:textId="4F0177CA" w:rsidR="006432EC" w:rsidRPr="00DB0548" w:rsidRDefault="006432EC" w:rsidP="006432EC">
      <w:pPr>
        <w:ind w:left="720" w:hanging="720"/>
        <w:jc w:val="both"/>
        <w:rPr>
          <w:rFonts w:ascii="Times New Roman" w:eastAsia="Georgia" w:hAnsi="Times New Roman" w:cs="Times New Roman"/>
          <w:b/>
          <w:bCs/>
          <w:sz w:val="24"/>
          <w:szCs w:val="24"/>
        </w:rPr>
      </w:pPr>
    </w:p>
    <w:p w14:paraId="14185280" w14:textId="77777777" w:rsidR="006432EC" w:rsidRPr="00DB0548" w:rsidRDefault="006432EC" w:rsidP="006432EC">
      <w:pPr>
        <w:spacing w:after="100"/>
        <w:jc w:val="both"/>
        <w:rPr>
          <w:rFonts w:ascii="Times New Roman" w:eastAsia="Georgia" w:hAnsi="Times New Roman" w:cs="Times New Roman"/>
          <w:sz w:val="24"/>
          <w:szCs w:val="24"/>
        </w:rPr>
      </w:pPr>
    </w:p>
    <w:p w14:paraId="0421A3F6" w14:textId="77777777" w:rsidR="006432EC" w:rsidRDefault="006432EC" w:rsidP="006432EC">
      <w:pPr>
        <w:spacing w:after="0" w:line="276" w:lineRule="auto"/>
        <w:ind w:left="567" w:hanging="567"/>
        <w:jc w:val="both"/>
        <w:rPr>
          <w:rFonts w:ascii="Times New Roman" w:eastAsia="Times New Roman" w:hAnsi="Times New Roman" w:cs="Times New Roman"/>
          <w:sz w:val="24"/>
          <w:szCs w:val="24"/>
        </w:rPr>
      </w:pPr>
    </w:p>
    <w:p w14:paraId="127EA443" w14:textId="395FBB70" w:rsidR="00A1176A" w:rsidRDefault="00A1176A" w:rsidP="00BD1F48">
      <w:pPr>
        <w:spacing w:after="0" w:line="276" w:lineRule="auto"/>
        <w:ind w:left="567" w:hanging="567"/>
        <w:jc w:val="both"/>
        <w:rPr>
          <w:rFonts w:ascii="Times New Roman" w:eastAsia="Times New Roman" w:hAnsi="Times New Roman" w:cs="Times New Roman"/>
          <w:sz w:val="24"/>
          <w:szCs w:val="24"/>
        </w:rPr>
      </w:pPr>
    </w:p>
    <w:sectPr w:rsidR="00A1176A" w:rsidSect="00740267">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9" w:footer="709" w:gutter="0"/>
      <w:pgNumType w:start="310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6A14F" w14:textId="77777777" w:rsidR="002B7E62" w:rsidRDefault="002B7E62">
      <w:pPr>
        <w:spacing w:after="0" w:line="240" w:lineRule="auto"/>
      </w:pPr>
      <w:r>
        <w:separator/>
      </w:r>
    </w:p>
  </w:endnote>
  <w:endnote w:type="continuationSeparator" w:id="0">
    <w:p w14:paraId="779BF8D1" w14:textId="77777777" w:rsidR="002B7E62" w:rsidRDefault="002B7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4706" w14:textId="58F108C7" w:rsidR="00A1176A" w:rsidRDefault="00312EA8">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r w:rsidRPr="00312EA8">
      <w:rPr>
        <w:rFonts w:ascii="Times New Roman" w:eastAsia="Times New Roman" w:hAnsi="Times New Roman" w:cs="Times New Roman"/>
        <w:color w:val="000000"/>
      </w:rPr>
      <w:t>Public Policy Discourse Debate: Discourse Network Analysis The "One Person, One Social Media Account" Issue in Indonesian Online Media</w:t>
    </w:r>
  </w:p>
  <w:p w14:paraId="39D67AAF" w14:textId="77777777" w:rsidR="00A1176A" w:rsidRDefault="005C6DD9">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45D4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38A3" w14:textId="307383CB" w:rsidR="00A1176A" w:rsidRDefault="005C6DD9">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45D40">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t>http://eduvest.greenvest.co.id</w:t>
    </w:r>
  </w:p>
  <w:p w14:paraId="161C8E93" w14:textId="77777777" w:rsidR="00A1176A" w:rsidRDefault="00A1176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06AF" w14:textId="5496A223" w:rsidR="00A1176A" w:rsidRDefault="00312EA8">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r w:rsidRPr="00312EA8">
      <w:rPr>
        <w:rFonts w:ascii="Times New Roman" w:eastAsia="Times New Roman" w:hAnsi="Times New Roman" w:cs="Times New Roman"/>
        <w:color w:val="000000"/>
      </w:rPr>
      <w:t>Public Policy Discourse Debate: Discourse Network Analysis The "One Person, One Social Media Account" Issue in Indonesian Online Media</w:t>
    </w:r>
  </w:p>
  <w:p w14:paraId="0D8C2ED6" w14:textId="77777777" w:rsidR="00A1176A" w:rsidRDefault="005C6DD9">
    <w:pPr>
      <w:pBdr>
        <w:top w:val="nil"/>
        <w:left w:val="nil"/>
        <w:bottom w:val="nil"/>
        <w:right w:val="nil"/>
        <w:between w:val="nil"/>
      </w:pBdr>
      <w:tabs>
        <w:tab w:val="center" w:pos="4513"/>
        <w:tab w:val="right" w:pos="9026"/>
      </w:tabs>
      <w:spacing w:after="0"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45D4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E08D0" w14:textId="77777777" w:rsidR="002B7E62" w:rsidRDefault="002B7E62">
      <w:pPr>
        <w:spacing w:after="0" w:line="240" w:lineRule="auto"/>
      </w:pPr>
      <w:r>
        <w:separator/>
      </w:r>
    </w:p>
  </w:footnote>
  <w:footnote w:type="continuationSeparator" w:id="0">
    <w:p w14:paraId="72462A7F" w14:textId="77777777" w:rsidR="002B7E62" w:rsidRDefault="002B7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D15B" w14:textId="77777777" w:rsidR="00A1176A" w:rsidRDefault="005C6DD9">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proofErr w:type="spellStart"/>
    <w:r>
      <w:rPr>
        <w:rFonts w:ascii="Times New Roman" w:eastAsia="Times New Roman" w:hAnsi="Times New Roman" w:cs="Times New Roman"/>
        <w:color w:val="002060"/>
      </w:rPr>
      <w:t>Eduvest</w:t>
    </w:r>
    <w:proofErr w:type="spellEnd"/>
    <w:r>
      <w:rPr>
        <w:rFonts w:ascii="Times New Roman" w:eastAsia="Times New Roman" w:hAnsi="Times New Roman" w:cs="Times New Roman"/>
        <w:color w:val="002060"/>
      </w:rPr>
      <w:t xml:space="preserve"> – Journal of Universal Studies</w:t>
    </w:r>
  </w:p>
  <w:p w14:paraId="11A5676E" w14:textId="64FE969C" w:rsidR="00A1176A" w:rsidRDefault="005C6DD9">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Volume</w:t>
    </w:r>
    <w:r w:rsidR="00312EA8">
      <w:rPr>
        <w:rFonts w:ascii="Times New Roman" w:eastAsia="Times New Roman" w:hAnsi="Times New Roman" w:cs="Times New Roman"/>
        <w:color w:val="002060"/>
      </w:rPr>
      <w:t xml:space="preserve"> 6</w:t>
    </w:r>
    <w:r>
      <w:rPr>
        <w:rFonts w:ascii="Times New Roman" w:eastAsia="Times New Roman" w:hAnsi="Times New Roman" w:cs="Times New Roman"/>
        <w:color w:val="002060"/>
      </w:rPr>
      <w:t xml:space="preserve">, Number </w:t>
    </w:r>
    <w:r w:rsidR="00312EA8">
      <w:rPr>
        <w:rFonts w:ascii="Times New Roman" w:eastAsia="Times New Roman" w:hAnsi="Times New Roman" w:cs="Times New Roman"/>
        <w:color w:val="002060"/>
      </w:rPr>
      <w:t>2</w:t>
    </w:r>
    <w:r>
      <w:rPr>
        <w:rFonts w:ascii="Times New Roman" w:eastAsia="Times New Roman" w:hAnsi="Times New Roman" w:cs="Times New Roman"/>
        <w:color w:val="002060"/>
      </w:rPr>
      <w:t xml:space="preserve">, </w:t>
    </w:r>
    <w:r w:rsidR="00312EA8" w:rsidRPr="00312EA8">
      <w:rPr>
        <w:rFonts w:ascii="Times New Roman" w:eastAsia="Times New Roman" w:hAnsi="Times New Roman" w:cs="Times New Roman"/>
        <w:color w:val="002060"/>
      </w:rPr>
      <w:t>February</w:t>
    </w:r>
    <w:r>
      <w:rPr>
        <w:rFonts w:ascii="Times New Roman" w:eastAsia="Times New Roman" w:hAnsi="Times New Roman" w:cs="Times New Roman"/>
        <w:color w:val="002060"/>
      </w:rPr>
      <w:t>, 202</w:t>
    </w:r>
    <w:r w:rsidR="00312EA8">
      <w:rPr>
        <w:rFonts w:ascii="Times New Roman" w:eastAsia="Times New Roman" w:hAnsi="Times New Roman" w:cs="Times New Roman"/>
        <w:color w:val="00206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A12" w14:textId="77777777" w:rsidR="00A1176A" w:rsidRDefault="005C6DD9">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proofErr w:type="spellStart"/>
    <w:r>
      <w:rPr>
        <w:rFonts w:ascii="Times New Roman" w:eastAsia="Times New Roman" w:hAnsi="Times New Roman" w:cs="Times New Roman"/>
        <w:color w:val="002060"/>
      </w:rPr>
      <w:t>Eduvest</w:t>
    </w:r>
    <w:proofErr w:type="spellEnd"/>
    <w:r>
      <w:rPr>
        <w:rFonts w:ascii="Times New Roman" w:eastAsia="Times New Roman" w:hAnsi="Times New Roman" w:cs="Times New Roman"/>
        <w:color w:val="002060"/>
      </w:rPr>
      <w:t xml:space="preserve"> – Journal of Universal Studies</w:t>
    </w:r>
  </w:p>
  <w:p w14:paraId="0CDFA668" w14:textId="27AF81B0" w:rsidR="00A1176A" w:rsidRDefault="005C6DD9">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Volume</w:t>
    </w:r>
    <w:r w:rsidR="00312EA8">
      <w:rPr>
        <w:rFonts w:ascii="Times New Roman" w:eastAsia="Times New Roman" w:hAnsi="Times New Roman" w:cs="Times New Roman"/>
        <w:color w:val="002060"/>
      </w:rPr>
      <w:t xml:space="preserve"> 6</w:t>
    </w:r>
    <w:r>
      <w:rPr>
        <w:rFonts w:ascii="Times New Roman" w:eastAsia="Times New Roman" w:hAnsi="Times New Roman" w:cs="Times New Roman"/>
        <w:color w:val="002060"/>
      </w:rPr>
      <w:t xml:space="preserve">, Number </w:t>
    </w:r>
    <w:r w:rsidR="00312EA8">
      <w:rPr>
        <w:rFonts w:ascii="Times New Roman" w:eastAsia="Times New Roman" w:hAnsi="Times New Roman" w:cs="Times New Roman"/>
        <w:color w:val="002060"/>
      </w:rPr>
      <w:t>2</w:t>
    </w:r>
    <w:r>
      <w:rPr>
        <w:rFonts w:ascii="Times New Roman" w:eastAsia="Times New Roman" w:hAnsi="Times New Roman" w:cs="Times New Roman"/>
        <w:color w:val="002060"/>
      </w:rPr>
      <w:t xml:space="preserve">, </w:t>
    </w:r>
    <w:r w:rsidR="00312EA8" w:rsidRPr="00312EA8">
      <w:rPr>
        <w:rFonts w:ascii="Times New Roman" w:eastAsia="Times New Roman" w:hAnsi="Times New Roman" w:cs="Times New Roman"/>
        <w:color w:val="002060"/>
      </w:rPr>
      <w:t>February</w:t>
    </w:r>
    <w:r>
      <w:rPr>
        <w:rFonts w:ascii="Times New Roman" w:eastAsia="Times New Roman" w:hAnsi="Times New Roman" w:cs="Times New Roman"/>
        <w:color w:val="002060"/>
      </w:rPr>
      <w:t>, 202</w:t>
    </w:r>
    <w:r w:rsidR="00312EA8">
      <w:rPr>
        <w:rFonts w:ascii="Times New Roman" w:eastAsia="Times New Roman" w:hAnsi="Times New Roman" w:cs="Times New Roman"/>
        <w:color w:val="00206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C4ED" w14:textId="77777777" w:rsidR="00A1176A" w:rsidRDefault="00A1176A">
    <w:pPr>
      <w:widowControl w:val="0"/>
      <w:pBdr>
        <w:top w:val="nil"/>
        <w:left w:val="nil"/>
        <w:bottom w:val="nil"/>
        <w:right w:val="nil"/>
        <w:between w:val="nil"/>
      </w:pBdr>
      <w:spacing w:after="0" w:line="276" w:lineRule="auto"/>
      <w:rPr>
        <w:rFonts w:ascii="Times New Roman" w:eastAsia="Times New Roman" w:hAnsi="Times New Roman" w:cs="Times New Roman"/>
        <w:color w:val="002060"/>
      </w:rPr>
    </w:pPr>
  </w:p>
  <w:tbl>
    <w:tblPr>
      <w:tblStyle w:val="a1"/>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3869"/>
      <w:gridCol w:w="5157"/>
    </w:tblGrid>
    <w:tr w:rsidR="00A1176A" w14:paraId="621CFEC0" w14:textId="77777777">
      <w:trPr>
        <w:jc w:val="center"/>
      </w:trPr>
      <w:tc>
        <w:tcPr>
          <w:tcW w:w="3869" w:type="dxa"/>
        </w:tcPr>
        <w:p w14:paraId="0BF45A45" w14:textId="77777777" w:rsidR="00A1176A" w:rsidRDefault="00A1176A">
          <w:pPr>
            <w:pBdr>
              <w:top w:val="nil"/>
              <w:left w:val="nil"/>
              <w:bottom w:val="nil"/>
              <w:right w:val="nil"/>
              <w:between w:val="nil"/>
            </w:pBdr>
            <w:tabs>
              <w:tab w:val="center" w:pos="4513"/>
              <w:tab w:val="right" w:pos="9026"/>
            </w:tabs>
            <w:rPr>
              <w:color w:val="000000"/>
            </w:rPr>
          </w:pPr>
        </w:p>
      </w:tc>
      <w:tc>
        <w:tcPr>
          <w:tcW w:w="5157" w:type="dxa"/>
        </w:tcPr>
        <w:p w14:paraId="3837B5F3" w14:textId="77777777" w:rsidR="00A1176A" w:rsidRDefault="005C6DD9">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2060"/>
              <w:sz w:val="24"/>
              <w:szCs w:val="24"/>
            </w:rPr>
            <w:t>Eduvest</w:t>
          </w:r>
          <w:proofErr w:type="spellEnd"/>
          <w:r>
            <w:rPr>
              <w:rFonts w:ascii="Times New Roman" w:eastAsia="Times New Roman" w:hAnsi="Times New Roman" w:cs="Times New Roman"/>
              <w:color w:val="002060"/>
              <w:sz w:val="24"/>
              <w:szCs w:val="24"/>
            </w:rPr>
            <w:t xml:space="preserve"> – Journal of Universal Studies</w:t>
          </w:r>
        </w:p>
        <w:p w14:paraId="4C4C090D" w14:textId="673E766F" w:rsidR="00A1176A" w:rsidRDefault="005C6DD9">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b/>
              <w:color w:val="002060"/>
              <w:sz w:val="24"/>
              <w:szCs w:val="24"/>
            </w:rPr>
          </w:pPr>
          <w:r>
            <w:rPr>
              <w:rFonts w:ascii="Times New Roman" w:eastAsia="Times New Roman" w:hAnsi="Times New Roman" w:cs="Times New Roman"/>
              <w:color w:val="002060"/>
              <w:sz w:val="24"/>
              <w:szCs w:val="24"/>
            </w:rPr>
            <w:t xml:space="preserve">Volume </w:t>
          </w:r>
          <w:r w:rsidR="00312EA8">
            <w:rPr>
              <w:rFonts w:ascii="Times New Roman" w:eastAsia="Times New Roman" w:hAnsi="Times New Roman" w:cs="Times New Roman"/>
              <w:color w:val="002060"/>
              <w:sz w:val="24"/>
              <w:szCs w:val="24"/>
            </w:rPr>
            <w:t>6</w:t>
          </w:r>
          <w:r>
            <w:rPr>
              <w:rFonts w:ascii="Times New Roman" w:eastAsia="Times New Roman" w:hAnsi="Times New Roman" w:cs="Times New Roman"/>
              <w:color w:val="002060"/>
              <w:sz w:val="24"/>
              <w:szCs w:val="24"/>
            </w:rPr>
            <w:t xml:space="preserve"> Number </w:t>
          </w:r>
          <w:r w:rsidR="00312EA8">
            <w:rPr>
              <w:rFonts w:ascii="Times New Roman" w:eastAsia="Times New Roman" w:hAnsi="Times New Roman" w:cs="Times New Roman"/>
              <w:color w:val="002060"/>
              <w:sz w:val="24"/>
              <w:szCs w:val="24"/>
            </w:rPr>
            <w:t>2</w:t>
          </w:r>
          <w:r>
            <w:rPr>
              <w:rFonts w:ascii="Times New Roman" w:eastAsia="Times New Roman" w:hAnsi="Times New Roman" w:cs="Times New Roman"/>
              <w:color w:val="002060"/>
              <w:sz w:val="24"/>
              <w:szCs w:val="24"/>
            </w:rPr>
            <w:t xml:space="preserve">, </w:t>
          </w:r>
          <w:r w:rsidR="00312EA8" w:rsidRPr="00312EA8">
            <w:rPr>
              <w:rFonts w:ascii="Times New Roman" w:eastAsia="Times New Roman" w:hAnsi="Times New Roman" w:cs="Times New Roman"/>
              <w:color w:val="002060"/>
              <w:sz w:val="24"/>
              <w:szCs w:val="24"/>
            </w:rPr>
            <w:t>February</w:t>
          </w:r>
          <w:r>
            <w:rPr>
              <w:rFonts w:ascii="Times New Roman" w:eastAsia="Times New Roman" w:hAnsi="Times New Roman" w:cs="Times New Roman"/>
              <w:color w:val="002060"/>
              <w:sz w:val="24"/>
              <w:szCs w:val="24"/>
            </w:rPr>
            <w:t>, 202</w:t>
          </w:r>
          <w:r w:rsidR="00312EA8">
            <w:rPr>
              <w:rFonts w:ascii="Times New Roman" w:eastAsia="Times New Roman" w:hAnsi="Times New Roman" w:cs="Times New Roman"/>
              <w:color w:val="002060"/>
              <w:sz w:val="24"/>
              <w:szCs w:val="24"/>
            </w:rPr>
            <w:t>6</w:t>
          </w:r>
        </w:p>
        <w:p w14:paraId="1C040ABF" w14:textId="77777777" w:rsidR="00A1176A" w:rsidRDefault="005C6DD9">
          <w:pPr>
            <w:pBdr>
              <w:top w:val="nil"/>
              <w:left w:val="nil"/>
              <w:bottom w:val="nil"/>
              <w:right w:val="nil"/>
              <w:between w:val="nil"/>
            </w:pBdr>
            <w:tabs>
              <w:tab w:val="center" w:pos="4513"/>
              <w:tab w:val="right" w:pos="9026"/>
            </w:tabs>
            <w:jc w:val="right"/>
            <w:rPr>
              <w:color w:val="000000"/>
            </w:rPr>
          </w:pPr>
          <w:r>
            <w:rPr>
              <w:rFonts w:ascii="Times New Roman" w:eastAsia="Times New Roman" w:hAnsi="Times New Roman" w:cs="Times New Roman"/>
              <w:color w:val="002060"/>
              <w:sz w:val="24"/>
              <w:szCs w:val="24"/>
            </w:rPr>
            <w:t>p- ISSN 2775-3735</w:t>
          </w:r>
          <w:hyperlink r:id="rId1">
            <w:r w:rsidR="00A1176A">
              <w:rPr>
                <w:rFonts w:ascii="Times New Roman" w:eastAsia="Times New Roman" w:hAnsi="Times New Roman" w:cs="Times New Roman"/>
                <w:color w:val="002060"/>
                <w:sz w:val="24"/>
                <w:szCs w:val="24"/>
              </w:rPr>
              <w:t>-</w:t>
            </w:r>
          </w:hyperlink>
          <w:r>
            <w:rPr>
              <w:rFonts w:ascii="Times New Roman" w:eastAsia="Times New Roman" w:hAnsi="Times New Roman" w:cs="Times New Roman"/>
              <w:color w:val="002060"/>
              <w:sz w:val="24"/>
              <w:szCs w:val="24"/>
            </w:rPr>
            <w:t xml:space="preserve"> e-ISSN 2775-3727</w:t>
          </w:r>
        </w:p>
      </w:tc>
    </w:tr>
  </w:tbl>
  <w:p w14:paraId="0D6602E4" w14:textId="77777777" w:rsidR="00A1176A" w:rsidRDefault="005C6DD9">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hidden="0" allowOverlap="1" wp14:anchorId="5D75A062" wp14:editId="0496B8BB">
          <wp:simplePos x="0" y="0"/>
          <wp:positionH relativeFrom="margin">
            <wp:posOffset>116710</wp:posOffset>
          </wp:positionH>
          <wp:positionV relativeFrom="margin">
            <wp:posOffset>-939164</wp:posOffset>
          </wp:positionV>
          <wp:extent cx="2242185" cy="929640"/>
          <wp:effectExtent l="0" t="0" r="0" b="0"/>
          <wp:wrapNone/>
          <wp:docPr id="18561467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20000" b="22221"/>
                  <a:stretch>
                    <a:fillRect/>
                  </a:stretch>
                </pic:blipFill>
                <pic:spPr>
                  <a:xfrm>
                    <a:off x="0" y="0"/>
                    <a:ext cx="2242185" cy="9296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984"/>
    <w:multiLevelType w:val="hybridMultilevel"/>
    <w:tmpl w:val="BE007D5C"/>
    <w:lvl w:ilvl="0" w:tplc="D494B038">
      <w:start w:val="1"/>
      <w:numFmt w:val="bullet"/>
      <w:lvlText w:val=""/>
      <w:lvlJc w:val="left"/>
      <w:pPr>
        <w:ind w:left="1080" w:hanging="360"/>
      </w:pPr>
      <w:rPr>
        <w:rFonts w:ascii="Symbol" w:hAnsi="Symbol"/>
      </w:rPr>
    </w:lvl>
    <w:lvl w:ilvl="1" w:tplc="F376A378">
      <w:start w:val="1"/>
      <w:numFmt w:val="bullet"/>
      <w:lvlText w:val=""/>
      <w:lvlJc w:val="left"/>
      <w:pPr>
        <w:ind w:left="1080" w:hanging="360"/>
      </w:pPr>
      <w:rPr>
        <w:rFonts w:ascii="Symbol" w:hAnsi="Symbol"/>
      </w:rPr>
    </w:lvl>
    <w:lvl w:ilvl="2" w:tplc="D980BFF0">
      <w:start w:val="1"/>
      <w:numFmt w:val="bullet"/>
      <w:lvlText w:val=""/>
      <w:lvlJc w:val="left"/>
      <w:pPr>
        <w:ind w:left="1080" w:hanging="360"/>
      </w:pPr>
      <w:rPr>
        <w:rFonts w:ascii="Symbol" w:hAnsi="Symbol"/>
      </w:rPr>
    </w:lvl>
    <w:lvl w:ilvl="3" w:tplc="D8BE7CF8">
      <w:start w:val="1"/>
      <w:numFmt w:val="bullet"/>
      <w:lvlText w:val=""/>
      <w:lvlJc w:val="left"/>
      <w:pPr>
        <w:ind w:left="1080" w:hanging="360"/>
      </w:pPr>
      <w:rPr>
        <w:rFonts w:ascii="Symbol" w:hAnsi="Symbol"/>
      </w:rPr>
    </w:lvl>
    <w:lvl w:ilvl="4" w:tplc="D0027338">
      <w:start w:val="1"/>
      <w:numFmt w:val="bullet"/>
      <w:lvlText w:val=""/>
      <w:lvlJc w:val="left"/>
      <w:pPr>
        <w:ind w:left="1080" w:hanging="360"/>
      </w:pPr>
      <w:rPr>
        <w:rFonts w:ascii="Symbol" w:hAnsi="Symbol"/>
      </w:rPr>
    </w:lvl>
    <w:lvl w:ilvl="5" w:tplc="B80057CA">
      <w:start w:val="1"/>
      <w:numFmt w:val="bullet"/>
      <w:lvlText w:val=""/>
      <w:lvlJc w:val="left"/>
      <w:pPr>
        <w:ind w:left="1080" w:hanging="360"/>
      </w:pPr>
      <w:rPr>
        <w:rFonts w:ascii="Symbol" w:hAnsi="Symbol"/>
      </w:rPr>
    </w:lvl>
    <w:lvl w:ilvl="6" w:tplc="356842EC">
      <w:start w:val="1"/>
      <w:numFmt w:val="bullet"/>
      <w:lvlText w:val=""/>
      <w:lvlJc w:val="left"/>
      <w:pPr>
        <w:ind w:left="1080" w:hanging="360"/>
      </w:pPr>
      <w:rPr>
        <w:rFonts w:ascii="Symbol" w:hAnsi="Symbol"/>
      </w:rPr>
    </w:lvl>
    <w:lvl w:ilvl="7" w:tplc="AD1CA6E4">
      <w:start w:val="1"/>
      <w:numFmt w:val="bullet"/>
      <w:lvlText w:val=""/>
      <w:lvlJc w:val="left"/>
      <w:pPr>
        <w:ind w:left="1080" w:hanging="360"/>
      </w:pPr>
      <w:rPr>
        <w:rFonts w:ascii="Symbol" w:hAnsi="Symbol"/>
      </w:rPr>
    </w:lvl>
    <w:lvl w:ilvl="8" w:tplc="1BAE6696">
      <w:start w:val="1"/>
      <w:numFmt w:val="bullet"/>
      <w:lvlText w:val=""/>
      <w:lvlJc w:val="left"/>
      <w:pPr>
        <w:ind w:left="1080" w:hanging="360"/>
      </w:pPr>
      <w:rPr>
        <w:rFonts w:ascii="Symbol" w:hAnsi="Symbol"/>
      </w:rPr>
    </w:lvl>
  </w:abstractNum>
  <w:abstractNum w:abstractNumId="1" w15:restartNumberingAfterBreak="0">
    <w:nsid w:val="129D4BBA"/>
    <w:multiLevelType w:val="hybridMultilevel"/>
    <w:tmpl w:val="CD70E2F0"/>
    <w:lvl w:ilvl="0" w:tplc="9AA4FBE2">
      <w:start w:val="1"/>
      <w:numFmt w:val="bullet"/>
      <w:lvlText w:val=""/>
      <w:lvlJc w:val="left"/>
      <w:pPr>
        <w:ind w:left="1080" w:hanging="360"/>
      </w:pPr>
      <w:rPr>
        <w:rFonts w:ascii="Symbol" w:hAnsi="Symbol"/>
      </w:rPr>
    </w:lvl>
    <w:lvl w:ilvl="1" w:tplc="CB5AC3EC">
      <w:start w:val="1"/>
      <w:numFmt w:val="bullet"/>
      <w:lvlText w:val=""/>
      <w:lvlJc w:val="left"/>
      <w:pPr>
        <w:ind w:left="1080" w:hanging="360"/>
      </w:pPr>
      <w:rPr>
        <w:rFonts w:ascii="Symbol" w:hAnsi="Symbol"/>
      </w:rPr>
    </w:lvl>
    <w:lvl w:ilvl="2" w:tplc="C86C7480">
      <w:start w:val="1"/>
      <w:numFmt w:val="bullet"/>
      <w:lvlText w:val=""/>
      <w:lvlJc w:val="left"/>
      <w:pPr>
        <w:ind w:left="1080" w:hanging="360"/>
      </w:pPr>
      <w:rPr>
        <w:rFonts w:ascii="Symbol" w:hAnsi="Symbol"/>
      </w:rPr>
    </w:lvl>
    <w:lvl w:ilvl="3" w:tplc="BFC68682">
      <w:start w:val="1"/>
      <w:numFmt w:val="bullet"/>
      <w:lvlText w:val=""/>
      <w:lvlJc w:val="left"/>
      <w:pPr>
        <w:ind w:left="1080" w:hanging="360"/>
      </w:pPr>
      <w:rPr>
        <w:rFonts w:ascii="Symbol" w:hAnsi="Symbol"/>
      </w:rPr>
    </w:lvl>
    <w:lvl w:ilvl="4" w:tplc="AECC5EBE">
      <w:start w:val="1"/>
      <w:numFmt w:val="bullet"/>
      <w:lvlText w:val=""/>
      <w:lvlJc w:val="left"/>
      <w:pPr>
        <w:ind w:left="1080" w:hanging="360"/>
      </w:pPr>
      <w:rPr>
        <w:rFonts w:ascii="Symbol" w:hAnsi="Symbol"/>
      </w:rPr>
    </w:lvl>
    <w:lvl w:ilvl="5" w:tplc="3466A22C">
      <w:start w:val="1"/>
      <w:numFmt w:val="bullet"/>
      <w:lvlText w:val=""/>
      <w:lvlJc w:val="left"/>
      <w:pPr>
        <w:ind w:left="1080" w:hanging="360"/>
      </w:pPr>
      <w:rPr>
        <w:rFonts w:ascii="Symbol" w:hAnsi="Symbol"/>
      </w:rPr>
    </w:lvl>
    <w:lvl w:ilvl="6" w:tplc="F932956E">
      <w:start w:val="1"/>
      <w:numFmt w:val="bullet"/>
      <w:lvlText w:val=""/>
      <w:lvlJc w:val="left"/>
      <w:pPr>
        <w:ind w:left="1080" w:hanging="360"/>
      </w:pPr>
      <w:rPr>
        <w:rFonts w:ascii="Symbol" w:hAnsi="Symbol"/>
      </w:rPr>
    </w:lvl>
    <w:lvl w:ilvl="7" w:tplc="2168FE3C">
      <w:start w:val="1"/>
      <w:numFmt w:val="bullet"/>
      <w:lvlText w:val=""/>
      <w:lvlJc w:val="left"/>
      <w:pPr>
        <w:ind w:left="1080" w:hanging="360"/>
      </w:pPr>
      <w:rPr>
        <w:rFonts w:ascii="Symbol" w:hAnsi="Symbol"/>
      </w:rPr>
    </w:lvl>
    <w:lvl w:ilvl="8" w:tplc="0A3E691A">
      <w:start w:val="1"/>
      <w:numFmt w:val="bullet"/>
      <w:lvlText w:val=""/>
      <w:lvlJc w:val="left"/>
      <w:pPr>
        <w:ind w:left="1080" w:hanging="360"/>
      </w:pPr>
      <w:rPr>
        <w:rFonts w:ascii="Symbol" w:hAnsi="Symbol"/>
      </w:rPr>
    </w:lvl>
  </w:abstractNum>
  <w:abstractNum w:abstractNumId="2" w15:restartNumberingAfterBreak="0">
    <w:nsid w:val="163943D5"/>
    <w:multiLevelType w:val="hybridMultilevel"/>
    <w:tmpl w:val="358E1610"/>
    <w:lvl w:ilvl="0" w:tplc="CB3C4504">
      <w:start w:val="1"/>
      <w:numFmt w:val="decimal"/>
      <w:lvlText w:val="%1."/>
      <w:lvlJc w:val="left"/>
      <w:pPr>
        <w:ind w:left="-207"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299A3254"/>
    <w:multiLevelType w:val="hybridMultilevel"/>
    <w:tmpl w:val="20BE7FB8"/>
    <w:lvl w:ilvl="0" w:tplc="30384E6C">
      <w:start w:val="1"/>
      <w:numFmt w:val="bullet"/>
      <w:lvlText w:val=""/>
      <w:lvlJc w:val="left"/>
      <w:pPr>
        <w:ind w:left="1080" w:hanging="360"/>
      </w:pPr>
      <w:rPr>
        <w:rFonts w:ascii="Symbol" w:hAnsi="Symbol"/>
      </w:rPr>
    </w:lvl>
    <w:lvl w:ilvl="1" w:tplc="F3C212A2">
      <w:start w:val="1"/>
      <w:numFmt w:val="bullet"/>
      <w:lvlText w:val=""/>
      <w:lvlJc w:val="left"/>
      <w:pPr>
        <w:ind w:left="1080" w:hanging="360"/>
      </w:pPr>
      <w:rPr>
        <w:rFonts w:ascii="Symbol" w:hAnsi="Symbol"/>
      </w:rPr>
    </w:lvl>
    <w:lvl w:ilvl="2" w:tplc="25C2D454">
      <w:start w:val="1"/>
      <w:numFmt w:val="bullet"/>
      <w:lvlText w:val=""/>
      <w:lvlJc w:val="left"/>
      <w:pPr>
        <w:ind w:left="1080" w:hanging="360"/>
      </w:pPr>
      <w:rPr>
        <w:rFonts w:ascii="Symbol" w:hAnsi="Symbol"/>
      </w:rPr>
    </w:lvl>
    <w:lvl w:ilvl="3" w:tplc="168C4A54">
      <w:start w:val="1"/>
      <w:numFmt w:val="bullet"/>
      <w:lvlText w:val=""/>
      <w:lvlJc w:val="left"/>
      <w:pPr>
        <w:ind w:left="1080" w:hanging="360"/>
      </w:pPr>
      <w:rPr>
        <w:rFonts w:ascii="Symbol" w:hAnsi="Symbol"/>
      </w:rPr>
    </w:lvl>
    <w:lvl w:ilvl="4" w:tplc="F0D26B4E">
      <w:start w:val="1"/>
      <w:numFmt w:val="bullet"/>
      <w:lvlText w:val=""/>
      <w:lvlJc w:val="left"/>
      <w:pPr>
        <w:ind w:left="1080" w:hanging="360"/>
      </w:pPr>
      <w:rPr>
        <w:rFonts w:ascii="Symbol" w:hAnsi="Symbol"/>
      </w:rPr>
    </w:lvl>
    <w:lvl w:ilvl="5" w:tplc="2DA811C8">
      <w:start w:val="1"/>
      <w:numFmt w:val="bullet"/>
      <w:lvlText w:val=""/>
      <w:lvlJc w:val="left"/>
      <w:pPr>
        <w:ind w:left="1080" w:hanging="360"/>
      </w:pPr>
      <w:rPr>
        <w:rFonts w:ascii="Symbol" w:hAnsi="Symbol"/>
      </w:rPr>
    </w:lvl>
    <w:lvl w:ilvl="6" w:tplc="7B1A1320">
      <w:start w:val="1"/>
      <w:numFmt w:val="bullet"/>
      <w:lvlText w:val=""/>
      <w:lvlJc w:val="left"/>
      <w:pPr>
        <w:ind w:left="1080" w:hanging="360"/>
      </w:pPr>
      <w:rPr>
        <w:rFonts w:ascii="Symbol" w:hAnsi="Symbol"/>
      </w:rPr>
    </w:lvl>
    <w:lvl w:ilvl="7" w:tplc="11EAC5CA">
      <w:start w:val="1"/>
      <w:numFmt w:val="bullet"/>
      <w:lvlText w:val=""/>
      <w:lvlJc w:val="left"/>
      <w:pPr>
        <w:ind w:left="1080" w:hanging="360"/>
      </w:pPr>
      <w:rPr>
        <w:rFonts w:ascii="Symbol" w:hAnsi="Symbol"/>
      </w:rPr>
    </w:lvl>
    <w:lvl w:ilvl="8" w:tplc="725EE940">
      <w:start w:val="1"/>
      <w:numFmt w:val="bullet"/>
      <w:lvlText w:val=""/>
      <w:lvlJc w:val="left"/>
      <w:pPr>
        <w:ind w:left="1080" w:hanging="360"/>
      </w:pPr>
      <w:rPr>
        <w:rFonts w:ascii="Symbol" w:hAnsi="Symbol"/>
      </w:rPr>
    </w:lvl>
  </w:abstractNum>
  <w:abstractNum w:abstractNumId="4" w15:restartNumberingAfterBreak="0">
    <w:nsid w:val="2E1630BC"/>
    <w:multiLevelType w:val="hybridMultilevel"/>
    <w:tmpl w:val="B0FC5374"/>
    <w:lvl w:ilvl="0" w:tplc="38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0101388"/>
    <w:multiLevelType w:val="hybridMultilevel"/>
    <w:tmpl w:val="E1FAD6E6"/>
    <w:lvl w:ilvl="0" w:tplc="BD3E890A">
      <w:start w:val="1"/>
      <w:numFmt w:val="bullet"/>
      <w:lvlText w:val=""/>
      <w:lvlJc w:val="left"/>
      <w:pPr>
        <w:ind w:left="1080" w:hanging="360"/>
      </w:pPr>
      <w:rPr>
        <w:rFonts w:ascii="Symbol" w:hAnsi="Symbol"/>
      </w:rPr>
    </w:lvl>
    <w:lvl w:ilvl="1" w:tplc="E5F22750">
      <w:start w:val="1"/>
      <w:numFmt w:val="bullet"/>
      <w:lvlText w:val=""/>
      <w:lvlJc w:val="left"/>
      <w:pPr>
        <w:ind w:left="1080" w:hanging="360"/>
      </w:pPr>
      <w:rPr>
        <w:rFonts w:ascii="Symbol" w:hAnsi="Symbol"/>
      </w:rPr>
    </w:lvl>
    <w:lvl w:ilvl="2" w:tplc="8CCE28D2">
      <w:start w:val="1"/>
      <w:numFmt w:val="bullet"/>
      <w:lvlText w:val=""/>
      <w:lvlJc w:val="left"/>
      <w:pPr>
        <w:ind w:left="1080" w:hanging="360"/>
      </w:pPr>
      <w:rPr>
        <w:rFonts w:ascii="Symbol" w:hAnsi="Symbol"/>
      </w:rPr>
    </w:lvl>
    <w:lvl w:ilvl="3" w:tplc="562077AE">
      <w:start w:val="1"/>
      <w:numFmt w:val="bullet"/>
      <w:lvlText w:val=""/>
      <w:lvlJc w:val="left"/>
      <w:pPr>
        <w:ind w:left="1080" w:hanging="360"/>
      </w:pPr>
      <w:rPr>
        <w:rFonts w:ascii="Symbol" w:hAnsi="Symbol"/>
      </w:rPr>
    </w:lvl>
    <w:lvl w:ilvl="4" w:tplc="ECBA3634">
      <w:start w:val="1"/>
      <w:numFmt w:val="bullet"/>
      <w:lvlText w:val=""/>
      <w:lvlJc w:val="left"/>
      <w:pPr>
        <w:ind w:left="1080" w:hanging="360"/>
      </w:pPr>
      <w:rPr>
        <w:rFonts w:ascii="Symbol" w:hAnsi="Symbol"/>
      </w:rPr>
    </w:lvl>
    <w:lvl w:ilvl="5" w:tplc="F90AB8FE">
      <w:start w:val="1"/>
      <w:numFmt w:val="bullet"/>
      <w:lvlText w:val=""/>
      <w:lvlJc w:val="left"/>
      <w:pPr>
        <w:ind w:left="1080" w:hanging="360"/>
      </w:pPr>
      <w:rPr>
        <w:rFonts w:ascii="Symbol" w:hAnsi="Symbol"/>
      </w:rPr>
    </w:lvl>
    <w:lvl w:ilvl="6" w:tplc="720A7C60">
      <w:start w:val="1"/>
      <w:numFmt w:val="bullet"/>
      <w:lvlText w:val=""/>
      <w:lvlJc w:val="left"/>
      <w:pPr>
        <w:ind w:left="1080" w:hanging="360"/>
      </w:pPr>
      <w:rPr>
        <w:rFonts w:ascii="Symbol" w:hAnsi="Symbol"/>
      </w:rPr>
    </w:lvl>
    <w:lvl w:ilvl="7" w:tplc="E5CC4056">
      <w:start w:val="1"/>
      <w:numFmt w:val="bullet"/>
      <w:lvlText w:val=""/>
      <w:lvlJc w:val="left"/>
      <w:pPr>
        <w:ind w:left="1080" w:hanging="360"/>
      </w:pPr>
      <w:rPr>
        <w:rFonts w:ascii="Symbol" w:hAnsi="Symbol"/>
      </w:rPr>
    </w:lvl>
    <w:lvl w:ilvl="8" w:tplc="B3D6C134">
      <w:start w:val="1"/>
      <w:numFmt w:val="bullet"/>
      <w:lvlText w:val=""/>
      <w:lvlJc w:val="left"/>
      <w:pPr>
        <w:ind w:left="1080" w:hanging="360"/>
      </w:pPr>
      <w:rPr>
        <w:rFonts w:ascii="Symbol" w:hAnsi="Symbol"/>
      </w:rPr>
    </w:lvl>
  </w:abstractNum>
  <w:abstractNum w:abstractNumId="6" w15:restartNumberingAfterBreak="0">
    <w:nsid w:val="43486768"/>
    <w:multiLevelType w:val="hybridMultilevel"/>
    <w:tmpl w:val="84983A4E"/>
    <w:lvl w:ilvl="0" w:tplc="B57CED20">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500F1DCB"/>
    <w:multiLevelType w:val="multilevel"/>
    <w:tmpl w:val="7BA03560"/>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abstractNum w:abstractNumId="8" w15:restartNumberingAfterBreak="0">
    <w:nsid w:val="511C766D"/>
    <w:multiLevelType w:val="hybridMultilevel"/>
    <w:tmpl w:val="EF7CE8E0"/>
    <w:lvl w:ilvl="0" w:tplc="75F83A5C">
      <w:start w:val="1"/>
      <w:numFmt w:val="bullet"/>
      <w:lvlText w:val=""/>
      <w:lvlJc w:val="left"/>
      <w:pPr>
        <w:ind w:left="1080" w:hanging="360"/>
      </w:pPr>
      <w:rPr>
        <w:rFonts w:ascii="Symbol" w:hAnsi="Symbol"/>
      </w:rPr>
    </w:lvl>
    <w:lvl w:ilvl="1" w:tplc="4CF6D526">
      <w:start w:val="1"/>
      <w:numFmt w:val="bullet"/>
      <w:lvlText w:val=""/>
      <w:lvlJc w:val="left"/>
      <w:pPr>
        <w:ind w:left="1080" w:hanging="360"/>
      </w:pPr>
      <w:rPr>
        <w:rFonts w:ascii="Symbol" w:hAnsi="Symbol"/>
      </w:rPr>
    </w:lvl>
    <w:lvl w:ilvl="2" w:tplc="96FCCE68">
      <w:start w:val="1"/>
      <w:numFmt w:val="bullet"/>
      <w:lvlText w:val=""/>
      <w:lvlJc w:val="left"/>
      <w:pPr>
        <w:ind w:left="1080" w:hanging="360"/>
      </w:pPr>
      <w:rPr>
        <w:rFonts w:ascii="Symbol" w:hAnsi="Symbol"/>
      </w:rPr>
    </w:lvl>
    <w:lvl w:ilvl="3" w:tplc="1046A62A">
      <w:start w:val="1"/>
      <w:numFmt w:val="bullet"/>
      <w:lvlText w:val=""/>
      <w:lvlJc w:val="left"/>
      <w:pPr>
        <w:ind w:left="1080" w:hanging="360"/>
      </w:pPr>
      <w:rPr>
        <w:rFonts w:ascii="Symbol" w:hAnsi="Symbol"/>
      </w:rPr>
    </w:lvl>
    <w:lvl w:ilvl="4" w:tplc="4D8C5EA8">
      <w:start w:val="1"/>
      <w:numFmt w:val="bullet"/>
      <w:lvlText w:val=""/>
      <w:lvlJc w:val="left"/>
      <w:pPr>
        <w:ind w:left="1080" w:hanging="360"/>
      </w:pPr>
      <w:rPr>
        <w:rFonts w:ascii="Symbol" w:hAnsi="Symbol"/>
      </w:rPr>
    </w:lvl>
    <w:lvl w:ilvl="5" w:tplc="D7D8FC92">
      <w:start w:val="1"/>
      <w:numFmt w:val="bullet"/>
      <w:lvlText w:val=""/>
      <w:lvlJc w:val="left"/>
      <w:pPr>
        <w:ind w:left="1080" w:hanging="360"/>
      </w:pPr>
      <w:rPr>
        <w:rFonts w:ascii="Symbol" w:hAnsi="Symbol"/>
      </w:rPr>
    </w:lvl>
    <w:lvl w:ilvl="6" w:tplc="F7BEBAAE">
      <w:start w:val="1"/>
      <w:numFmt w:val="bullet"/>
      <w:lvlText w:val=""/>
      <w:lvlJc w:val="left"/>
      <w:pPr>
        <w:ind w:left="1080" w:hanging="360"/>
      </w:pPr>
      <w:rPr>
        <w:rFonts w:ascii="Symbol" w:hAnsi="Symbol"/>
      </w:rPr>
    </w:lvl>
    <w:lvl w:ilvl="7" w:tplc="3B08FC3A">
      <w:start w:val="1"/>
      <w:numFmt w:val="bullet"/>
      <w:lvlText w:val=""/>
      <w:lvlJc w:val="left"/>
      <w:pPr>
        <w:ind w:left="1080" w:hanging="360"/>
      </w:pPr>
      <w:rPr>
        <w:rFonts w:ascii="Symbol" w:hAnsi="Symbol"/>
      </w:rPr>
    </w:lvl>
    <w:lvl w:ilvl="8" w:tplc="CBA65E34">
      <w:start w:val="1"/>
      <w:numFmt w:val="bullet"/>
      <w:lvlText w:val=""/>
      <w:lvlJc w:val="left"/>
      <w:pPr>
        <w:ind w:left="1080" w:hanging="360"/>
      </w:pPr>
      <w:rPr>
        <w:rFonts w:ascii="Symbol" w:hAnsi="Symbol"/>
      </w:rPr>
    </w:lvl>
  </w:abstractNum>
  <w:abstractNum w:abstractNumId="9" w15:restartNumberingAfterBreak="0">
    <w:nsid w:val="512E10CD"/>
    <w:multiLevelType w:val="hybridMultilevel"/>
    <w:tmpl w:val="8FE27558"/>
    <w:lvl w:ilvl="0" w:tplc="4438ABB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548A005A"/>
    <w:multiLevelType w:val="hybridMultilevel"/>
    <w:tmpl w:val="39B08C42"/>
    <w:lvl w:ilvl="0" w:tplc="62A8669E">
      <w:start w:val="1"/>
      <w:numFmt w:val="decimal"/>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5DD7487E"/>
    <w:multiLevelType w:val="hybridMultilevel"/>
    <w:tmpl w:val="7EE6E632"/>
    <w:lvl w:ilvl="0" w:tplc="87789222">
      <w:start w:val="1"/>
      <w:numFmt w:val="bullet"/>
      <w:lvlText w:val=""/>
      <w:lvlJc w:val="left"/>
      <w:pPr>
        <w:ind w:left="1080" w:hanging="360"/>
      </w:pPr>
      <w:rPr>
        <w:rFonts w:ascii="Symbol" w:hAnsi="Symbol"/>
      </w:rPr>
    </w:lvl>
    <w:lvl w:ilvl="1" w:tplc="97B6B3A8">
      <w:start w:val="1"/>
      <w:numFmt w:val="bullet"/>
      <w:lvlText w:val=""/>
      <w:lvlJc w:val="left"/>
      <w:pPr>
        <w:ind w:left="1080" w:hanging="360"/>
      </w:pPr>
      <w:rPr>
        <w:rFonts w:ascii="Symbol" w:hAnsi="Symbol"/>
      </w:rPr>
    </w:lvl>
    <w:lvl w:ilvl="2" w:tplc="CBE254A4">
      <w:start w:val="1"/>
      <w:numFmt w:val="bullet"/>
      <w:lvlText w:val=""/>
      <w:lvlJc w:val="left"/>
      <w:pPr>
        <w:ind w:left="1080" w:hanging="360"/>
      </w:pPr>
      <w:rPr>
        <w:rFonts w:ascii="Symbol" w:hAnsi="Symbol"/>
      </w:rPr>
    </w:lvl>
    <w:lvl w:ilvl="3" w:tplc="9476E0FA">
      <w:start w:val="1"/>
      <w:numFmt w:val="bullet"/>
      <w:lvlText w:val=""/>
      <w:lvlJc w:val="left"/>
      <w:pPr>
        <w:ind w:left="1080" w:hanging="360"/>
      </w:pPr>
      <w:rPr>
        <w:rFonts w:ascii="Symbol" w:hAnsi="Symbol"/>
      </w:rPr>
    </w:lvl>
    <w:lvl w:ilvl="4" w:tplc="7CF2E0B8">
      <w:start w:val="1"/>
      <w:numFmt w:val="bullet"/>
      <w:lvlText w:val=""/>
      <w:lvlJc w:val="left"/>
      <w:pPr>
        <w:ind w:left="1080" w:hanging="360"/>
      </w:pPr>
      <w:rPr>
        <w:rFonts w:ascii="Symbol" w:hAnsi="Symbol"/>
      </w:rPr>
    </w:lvl>
    <w:lvl w:ilvl="5" w:tplc="6E0898C6">
      <w:start w:val="1"/>
      <w:numFmt w:val="bullet"/>
      <w:lvlText w:val=""/>
      <w:lvlJc w:val="left"/>
      <w:pPr>
        <w:ind w:left="1080" w:hanging="360"/>
      </w:pPr>
      <w:rPr>
        <w:rFonts w:ascii="Symbol" w:hAnsi="Symbol"/>
      </w:rPr>
    </w:lvl>
    <w:lvl w:ilvl="6" w:tplc="8A36C290">
      <w:start w:val="1"/>
      <w:numFmt w:val="bullet"/>
      <w:lvlText w:val=""/>
      <w:lvlJc w:val="left"/>
      <w:pPr>
        <w:ind w:left="1080" w:hanging="360"/>
      </w:pPr>
      <w:rPr>
        <w:rFonts w:ascii="Symbol" w:hAnsi="Symbol"/>
      </w:rPr>
    </w:lvl>
    <w:lvl w:ilvl="7" w:tplc="825C6108">
      <w:start w:val="1"/>
      <w:numFmt w:val="bullet"/>
      <w:lvlText w:val=""/>
      <w:lvlJc w:val="left"/>
      <w:pPr>
        <w:ind w:left="1080" w:hanging="360"/>
      </w:pPr>
      <w:rPr>
        <w:rFonts w:ascii="Symbol" w:hAnsi="Symbol"/>
      </w:rPr>
    </w:lvl>
    <w:lvl w:ilvl="8" w:tplc="DA56C458">
      <w:start w:val="1"/>
      <w:numFmt w:val="bullet"/>
      <w:lvlText w:val=""/>
      <w:lvlJc w:val="left"/>
      <w:pPr>
        <w:ind w:left="1080" w:hanging="360"/>
      </w:pPr>
      <w:rPr>
        <w:rFonts w:ascii="Symbol" w:hAnsi="Symbol"/>
      </w:rPr>
    </w:lvl>
  </w:abstractNum>
  <w:num w:numId="1" w16cid:durableId="1585262750">
    <w:abstractNumId w:val="7"/>
  </w:num>
  <w:num w:numId="2" w16cid:durableId="377779802">
    <w:abstractNumId w:val="4"/>
  </w:num>
  <w:num w:numId="3" w16cid:durableId="1311640428">
    <w:abstractNumId w:val="6"/>
  </w:num>
  <w:num w:numId="4" w16cid:durableId="1653096328">
    <w:abstractNumId w:val="10"/>
  </w:num>
  <w:num w:numId="5" w16cid:durableId="587809576">
    <w:abstractNumId w:val="2"/>
  </w:num>
  <w:num w:numId="6" w16cid:durableId="1392803347">
    <w:abstractNumId w:val="9"/>
  </w:num>
  <w:num w:numId="7" w16cid:durableId="1616904986">
    <w:abstractNumId w:val="1"/>
  </w:num>
  <w:num w:numId="8" w16cid:durableId="1909267555">
    <w:abstractNumId w:val="0"/>
  </w:num>
  <w:num w:numId="9" w16cid:durableId="730928549">
    <w:abstractNumId w:val="11"/>
  </w:num>
  <w:num w:numId="10" w16cid:durableId="813185740">
    <w:abstractNumId w:val="8"/>
  </w:num>
  <w:num w:numId="11" w16cid:durableId="248388030">
    <w:abstractNumId w:val="5"/>
  </w:num>
  <w:num w:numId="12" w16cid:durableId="1815105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76A"/>
    <w:rsid w:val="00094748"/>
    <w:rsid w:val="001A4762"/>
    <w:rsid w:val="00213D71"/>
    <w:rsid w:val="0021458F"/>
    <w:rsid w:val="00270732"/>
    <w:rsid w:val="00280C72"/>
    <w:rsid w:val="002960EA"/>
    <w:rsid w:val="002B7E62"/>
    <w:rsid w:val="00312EA8"/>
    <w:rsid w:val="00374DBC"/>
    <w:rsid w:val="00493E83"/>
    <w:rsid w:val="004D000C"/>
    <w:rsid w:val="00537314"/>
    <w:rsid w:val="00570BB3"/>
    <w:rsid w:val="005C5B50"/>
    <w:rsid w:val="005C6DD9"/>
    <w:rsid w:val="006432EC"/>
    <w:rsid w:val="00740267"/>
    <w:rsid w:val="0079122F"/>
    <w:rsid w:val="00865757"/>
    <w:rsid w:val="00991483"/>
    <w:rsid w:val="009E520E"/>
    <w:rsid w:val="00A1176A"/>
    <w:rsid w:val="00A45D40"/>
    <w:rsid w:val="00AC25D2"/>
    <w:rsid w:val="00AD5DFB"/>
    <w:rsid w:val="00B73A30"/>
    <w:rsid w:val="00B91FA9"/>
    <w:rsid w:val="00BA3F55"/>
    <w:rsid w:val="00BD1F48"/>
    <w:rsid w:val="00BF6F10"/>
    <w:rsid w:val="00C51F3C"/>
    <w:rsid w:val="00C751FD"/>
    <w:rsid w:val="00CD0051"/>
    <w:rsid w:val="00DA4350"/>
    <w:rsid w:val="00DB367A"/>
    <w:rsid w:val="00E8748C"/>
    <w:rsid w:val="00F04162"/>
    <w:rsid w:val="00F348C5"/>
    <w:rsid w:val="00F52C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11F88"/>
  <w15:docId w15:val="{C477D554-430F-454C-A47F-1608A6A5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15"/>
  </w:style>
  <w:style w:type="paragraph" w:styleId="Judul1">
    <w:name w:val="heading 1"/>
    <w:basedOn w:val="Normal"/>
    <w:next w:val="Normal"/>
    <w:link w:val="Judul1KAR"/>
    <w:uiPriority w:val="9"/>
    <w:qFormat/>
    <w:rsid w:val="00067D5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Judul2">
    <w:name w:val="heading 2"/>
    <w:basedOn w:val="Normal"/>
    <w:next w:val="Normal"/>
    <w:link w:val="Judul2KAR"/>
    <w:uiPriority w:val="9"/>
    <w:semiHidden/>
    <w:unhideWhenUsed/>
    <w:qFormat/>
    <w:rsid w:val="00067D5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Judul3">
    <w:name w:val="heading 3"/>
    <w:basedOn w:val="Normal"/>
    <w:next w:val="Normal"/>
    <w:link w:val="Judul3KAR"/>
    <w:uiPriority w:val="9"/>
    <w:semiHidden/>
    <w:unhideWhenUsed/>
    <w:qFormat/>
    <w:rsid w:val="00067D5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Judul4">
    <w:name w:val="heading 4"/>
    <w:basedOn w:val="Normal"/>
    <w:next w:val="Normal"/>
    <w:link w:val="Judul4KAR"/>
    <w:uiPriority w:val="9"/>
    <w:semiHidden/>
    <w:unhideWhenUsed/>
    <w:qFormat/>
    <w:rsid w:val="00067D5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Judul5">
    <w:name w:val="heading 5"/>
    <w:basedOn w:val="Normal"/>
    <w:next w:val="Normal"/>
    <w:link w:val="Judul5KAR"/>
    <w:uiPriority w:val="9"/>
    <w:semiHidden/>
    <w:unhideWhenUsed/>
    <w:qFormat/>
    <w:rsid w:val="00067D5A"/>
    <w:pPr>
      <w:keepNext/>
      <w:keepLines/>
      <w:numPr>
        <w:ilvl w:val="4"/>
        <w:numId w:val="1"/>
      </w:numPr>
      <w:spacing w:before="200" w:after="0"/>
      <w:outlineLvl w:val="4"/>
    </w:pPr>
    <w:rPr>
      <w:rFonts w:asciiTheme="majorHAnsi" w:eastAsiaTheme="majorEastAsia" w:hAnsiTheme="majorHAnsi" w:cstheme="majorBidi"/>
      <w:color w:val="17365D" w:themeColor="text2" w:themeShade="BF"/>
    </w:rPr>
  </w:style>
  <w:style w:type="paragraph" w:styleId="Judul6">
    <w:name w:val="heading 6"/>
    <w:basedOn w:val="Normal"/>
    <w:next w:val="Normal"/>
    <w:link w:val="Judul6KAR"/>
    <w:uiPriority w:val="9"/>
    <w:semiHidden/>
    <w:unhideWhenUsed/>
    <w:qFormat/>
    <w:rsid w:val="00067D5A"/>
    <w:pPr>
      <w:keepNext/>
      <w:keepLines/>
      <w:numPr>
        <w:ilvl w:val="5"/>
        <w:numId w:val="1"/>
      </w:numPr>
      <w:spacing w:before="200" w:after="0"/>
      <w:outlineLvl w:val="5"/>
    </w:pPr>
    <w:rPr>
      <w:rFonts w:asciiTheme="majorHAnsi" w:eastAsiaTheme="majorEastAsia" w:hAnsiTheme="majorHAnsi" w:cstheme="majorBidi"/>
      <w:i/>
      <w:iCs/>
      <w:color w:val="17365D" w:themeColor="text2" w:themeShade="BF"/>
    </w:rPr>
  </w:style>
  <w:style w:type="paragraph" w:styleId="Judul7">
    <w:name w:val="heading 7"/>
    <w:basedOn w:val="Normal"/>
    <w:next w:val="Normal"/>
    <w:link w:val="Judul7K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Judul9">
    <w:name w:val="heading 9"/>
    <w:basedOn w:val="Normal"/>
    <w:next w:val="Normal"/>
    <w:link w:val="Judul9K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067D5A"/>
    <w:pPr>
      <w:spacing w:after="0" w:line="240" w:lineRule="auto"/>
      <w:contextualSpacing/>
    </w:pPr>
    <w:rPr>
      <w:rFonts w:asciiTheme="majorHAnsi" w:eastAsiaTheme="majorEastAsia" w:hAnsiTheme="majorHAnsi" w:cstheme="majorBidi"/>
      <w:color w:val="000000" w:themeColor="text1"/>
      <w:sz w:val="56"/>
      <w:szCs w:val="56"/>
    </w:rPr>
  </w:style>
  <w:style w:type="paragraph" w:styleId="Header">
    <w:name w:val="header"/>
    <w:basedOn w:val="Normal"/>
    <w:link w:val="HeaderKAR"/>
    <w:uiPriority w:val="99"/>
    <w:unhideWhenUsed/>
    <w:rsid w:val="00D47ED7"/>
    <w:pPr>
      <w:tabs>
        <w:tab w:val="center" w:pos="4513"/>
        <w:tab w:val="right" w:pos="9026"/>
      </w:tabs>
      <w:spacing w:after="0" w:line="240" w:lineRule="auto"/>
    </w:pPr>
  </w:style>
  <w:style w:type="character" w:customStyle="1" w:styleId="HeaderKAR">
    <w:name w:val="Header KAR"/>
    <w:basedOn w:val="FontParagrafDefault"/>
    <w:link w:val="Header"/>
    <w:uiPriority w:val="99"/>
    <w:rsid w:val="00D47ED7"/>
  </w:style>
  <w:style w:type="paragraph" w:styleId="Footer">
    <w:name w:val="footer"/>
    <w:basedOn w:val="Normal"/>
    <w:link w:val="FooterKAR"/>
    <w:uiPriority w:val="99"/>
    <w:unhideWhenUsed/>
    <w:rsid w:val="00D47ED7"/>
    <w:pPr>
      <w:tabs>
        <w:tab w:val="center" w:pos="4513"/>
        <w:tab w:val="right" w:pos="9026"/>
      </w:tabs>
      <w:spacing w:after="0" w:line="240" w:lineRule="auto"/>
    </w:pPr>
  </w:style>
  <w:style w:type="character" w:customStyle="1" w:styleId="FooterKAR">
    <w:name w:val="Footer KAR"/>
    <w:basedOn w:val="FontParagrafDefault"/>
    <w:link w:val="Footer"/>
    <w:uiPriority w:val="99"/>
    <w:rsid w:val="00D47ED7"/>
  </w:style>
  <w:style w:type="table" w:styleId="KisiTabel">
    <w:name w:val="Table Grid"/>
    <w:basedOn w:val="TabelNormal"/>
    <w:uiPriority w:val="3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B0807"/>
    <w:rPr>
      <w:color w:val="0000FF" w:themeColor="hyperlink"/>
      <w:u w:val="single"/>
    </w:rPr>
  </w:style>
  <w:style w:type="table" w:styleId="BayanganTipis">
    <w:name w:val="Light Shading"/>
    <w:basedOn w:val="Tabel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aftarParagraf">
    <w:name w:val="List Paragraph"/>
    <w:basedOn w:val="Normal"/>
    <w:link w:val="DaftarParagrafKAR"/>
    <w:uiPriority w:val="34"/>
    <w:qFormat/>
    <w:rsid w:val="00197B7D"/>
    <w:pPr>
      <w:ind w:left="720"/>
      <w:contextualSpacing/>
    </w:pPr>
  </w:style>
  <w:style w:type="character" w:styleId="ReferensiKomentar">
    <w:name w:val="annotation reference"/>
    <w:basedOn w:val="FontParagrafDefault"/>
    <w:uiPriority w:val="99"/>
    <w:semiHidden/>
    <w:unhideWhenUsed/>
    <w:rsid w:val="00596B66"/>
    <w:rPr>
      <w:sz w:val="16"/>
      <w:szCs w:val="16"/>
    </w:rPr>
  </w:style>
  <w:style w:type="paragraph" w:styleId="TeksKomentar">
    <w:name w:val="annotation text"/>
    <w:basedOn w:val="Normal"/>
    <w:link w:val="TeksKomentarKAR"/>
    <w:uiPriority w:val="99"/>
    <w:unhideWhenUsed/>
    <w:rsid w:val="00F671BD"/>
    <w:pPr>
      <w:spacing w:after="0" w:line="240" w:lineRule="auto"/>
      <w:jc w:val="both"/>
    </w:pPr>
    <w:rPr>
      <w:sz w:val="20"/>
      <w:szCs w:val="20"/>
    </w:rPr>
  </w:style>
  <w:style w:type="character" w:customStyle="1" w:styleId="TeksKomentarKAR">
    <w:name w:val="Teks Komentar KAR"/>
    <w:basedOn w:val="FontParagrafDefault"/>
    <w:link w:val="TeksKomentar"/>
    <w:uiPriority w:val="99"/>
    <w:rsid w:val="00F671BD"/>
    <w:rPr>
      <w:sz w:val="20"/>
      <w:szCs w:val="20"/>
    </w:rPr>
  </w:style>
  <w:style w:type="paragraph" w:styleId="SubjekKomentar">
    <w:name w:val="annotation subject"/>
    <w:basedOn w:val="TeksKomentar"/>
    <w:next w:val="TeksKomentar"/>
    <w:link w:val="SubjekKomentarKAR"/>
    <w:uiPriority w:val="99"/>
    <w:semiHidden/>
    <w:unhideWhenUsed/>
    <w:rsid w:val="00C2479E"/>
    <w:pPr>
      <w:spacing w:after="200"/>
      <w:jc w:val="left"/>
    </w:pPr>
    <w:rPr>
      <w:b/>
      <w:bCs/>
    </w:rPr>
  </w:style>
  <w:style w:type="character" w:customStyle="1" w:styleId="SubjekKomentarKAR">
    <w:name w:val="Subjek Komentar KAR"/>
    <w:basedOn w:val="TeksKomentarKAR"/>
    <w:link w:val="SubjekKomentar"/>
    <w:uiPriority w:val="99"/>
    <w:semiHidden/>
    <w:rsid w:val="00C2479E"/>
    <w:rPr>
      <w:b/>
      <w:bCs/>
      <w:sz w:val="20"/>
      <w:szCs w:val="20"/>
    </w:rPr>
  </w:style>
  <w:style w:type="paragraph" w:styleId="TeksBalon">
    <w:name w:val="Balloon Text"/>
    <w:basedOn w:val="Normal"/>
    <w:link w:val="TeksBalonKAR"/>
    <w:uiPriority w:val="99"/>
    <w:semiHidden/>
    <w:unhideWhenUsed/>
    <w:rsid w:val="00C2479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2479E"/>
    <w:rPr>
      <w:rFonts w:ascii="Tahoma" w:hAnsi="Tahoma" w:cs="Tahoma"/>
      <w:sz w:val="16"/>
      <w:szCs w:val="16"/>
    </w:rPr>
  </w:style>
  <w:style w:type="character" w:customStyle="1" w:styleId="DaftarParagrafKAR">
    <w:name w:val="Daftar Paragraf KAR"/>
    <w:link w:val="DaftarParagraf"/>
    <w:uiPriority w:val="34"/>
    <w:rsid w:val="00B8191D"/>
  </w:style>
  <w:style w:type="paragraph" w:styleId="TeksIsi">
    <w:name w:val="Body Text"/>
    <w:basedOn w:val="Normal"/>
    <w:link w:val="TeksIsiKAR"/>
    <w:uiPriority w:val="1"/>
    <w:rsid w:val="00B8191D"/>
    <w:pPr>
      <w:widowControl w:val="0"/>
      <w:autoSpaceDE w:val="0"/>
      <w:autoSpaceDN w:val="0"/>
      <w:spacing w:after="0" w:line="240" w:lineRule="auto"/>
      <w:ind w:left="152"/>
    </w:pPr>
    <w:rPr>
      <w:sz w:val="20"/>
      <w:szCs w:val="20"/>
    </w:rPr>
  </w:style>
  <w:style w:type="character" w:customStyle="1" w:styleId="TeksIsiKAR">
    <w:name w:val="Teks Isi KAR"/>
    <w:basedOn w:val="FontParagrafDefault"/>
    <w:link w:val="TeksIsi"/>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Judul3KAR">
    <w:name w:val="Judul 3 KAR"/>
    <w:basedOn w:val="FontParagrafDefault"/>
    <w:link w:val="Judul3"/>
    <w:uiPriority w:val="9"/>
    <w:rsid w:val="00067D5A"/>
    <w:rPr>
      <w:rFonts w:asciiTheme="majorHAnsi" w:eastAsiaTheme="majorEastAsia" w:hAnsiTheme="majorHAnsi" w:cstheme="majorBidi"/>
      <w:b/>
      <w:bCs/>
      <w:color w:val="000000" w:themeColor="text1"/>
    </w:rPr>
  </w:style>
  <w:style w:type="numbering" w:customStyle="1" w:styleId="NoList1">
    <w:name w:val="No List1"/>
    <w:next w:val="TidakAdaDaftar"/>
    <w:uiPriority w:val="99"/>
    <w:semiHidden/>
    <w:unhideWhenUsed/>
    <w:rsid w:val="00630423"/>
  </w:style>
  <w:style w:type="table" w:customStyle="1" w:styleId="TableGrid1">
    <w:name w:val="Table Grid1"/>
    <w:basedOn w:val="TabelNormal"/>
    <w:next w:val="KisiTabel"/>
    <w:uiPriority w:val="39"/>
    <w:rsid w:val="0063042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Judul1KAR">
    <w:name w:val="Judul 1 KAR"/>
    <w:basedOn w:val="FontParagrafDefault"/>
    <w:link w:val="Judul1"/>
    <w:uiPriority w:val="9"/>
    <w:rsid w:val="00067D5A"/>
    <w:rPr>
      <w:rFonts w:asciiTheme="majorHAnsi" w:eastAsiaTheme="majorEastAsia" w:hAnsiTheme="majorHAnsi" w:cstheme="majorBidi"/>
      <w:b/>
      <w:bCs/>
      <w:smallCaps/>
      <w:color w:val="000000" w:themeColor="text1"/>
      <w:sz w:val="36"/>
      <w:szCs w:val="36"/>
    </w:rPr>
  </w:style>
  <w:style w:type="character" w:styleId="Penekanan">
    <w:name w:val="Emphasis"/>
    <w:basedOn w:val="FontParagrafDefault"/>
    <w:uiPriority w:val="20"/>
    <w:qFormat/>
    <w:rsid w:val="00067D5A"/>
    <w:rPr>
      <w:i/>
      <w:iCs/>
      <w:color w:val="auto"/>
    </w:rPr>
  </w:style>
  <w:style w:type="character" w:customStyle="1" w:styleId="apple-converted-space">
    <w:name w:val="apple-converted-space"/>
    <w:basedOn w:val="FontParagrafDefault"/>
    <w:rsid w:val="00630423"/>
  </w:style>
  <w:style w:type="character" w:customStyle="1" w:styleId="Judul2KAR">
    <w:name w:val="Judul 2 KAR"/>
    <w:basedOn w:val="FontParagrafDefault"/>
    <w:link w:val="Judul2"/>
    <w:uiPriority w:val="9"/>
    <w:semiHidden/>
    <w:rsid w:val="00067D5A"/>
    <w:rPr>
      <w:rFonts w:asciiTheme="majorHAnsi" w:eastAsiaTheme="majorEastAsia" w:hAnsiTheme="majorHAnsi" w:cstheme="majorBidi"/>
      <w:b/>
      <w:bCs/>
      <w:smallCaps/>
      <w:color w:val="000000" w:themeColor="text1"/>
      <w:sz w:val="28"/>
      <w:szCs w:val="28"/>
    </w:rPr>
  </w:style>
  <w:style w:type="character" w:styleId="Kuat">
    <w:name w:val="Strong"/>
    <w:basedOn w:val="FontParagrafDefault"/>
    <w:uiPriority w:val="22"/>
    <w:qFormat/>
    <w:rsid w:val="00067D5A"/>
    <w:rPr>
      <w:b/>
      <w:bCs/>
      <w:color w:val="000000" w:themeColor="text1"/>
    </w:rPr>
  </w:style>
  <w:style w:type="character" w:customStyle="1" w:styleId="UnresolvedMention1">
    <w:name w:val="Unresolved Mention1"/>
    <w:basedOn w:val="FontParagrafDefault"/>
    <w:uiPriority w:val="99"/>
    <w:rsid w:val="00630423"/>
    <w:rPr>
      <w:color w:val="605E5C"/>
      <w:shd w:val="clear" w:color="auto" w:fill="E1DFDD"/>
    </w:rPr>
  </w:style>
  <w:style w:type="character" w:customStyle="1" w:styleId="Heading1Char1">
    <w:name w:val="Heading 1 Char1"/>
    <w:basedOn w:val="FontParagrafDefaul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FontParagrafDefaul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Judul4KAR">
    <w:name w:val="Judul 4 KAR"/>
    <w:basedOn w:val="FontParagrafDefault"/>
    <w:link w:val="Judul4"/>
    <w:uiPriority w:val="9"/>
    <w:semiHidden/>
    <w:rsid w:val="00067D5A"/>
    <w:rPr>
      <w:rFonts w:asciiTheme="majorHAnsi" w:eastAsiaTheme="majorEastAsia" w:hAnsiTheme="majorHAnsi" w:cstheme="majorBidi"/>
      <w:b/>
      <w:bCs/>
      <w:i/>
      <w:iCs/>
      <w:color w:val="000000" w:themeColor="text1"/>
    </w:rPr>
  </w:style>
  <w:style w:type="character" w:customStyle="1" w:styleId="Judul5KAR">
    <w:name w:val="Judul 5 KAR"/>
    <w:basedOn w:val="FontParagrafDefault"/>
    <w:link w:val="Judul5"/>
    <w:uiPriority w:val="9"/>
    <w:semiHidden/>
    <w:rsid w:val="00067D5A"/>
    <w:rPr>
      <w:rFonts w:asciiTheme="majorHAnsi" w:eastAsiaTheme="majorEastAsia" w:hAnsiTheme="majorHAnsi" w:cstheme="majorBidi"/>
      <w:color w:val="17365D" w:themeColor="text2" w:themeShade="BF"/>
    </w:rPr>
  </w:style>
  <w:style w:type="character" w:customStyle="1" w:styleId="Judul6KAR">
    <w:name w:val="Judul 6 KAR"/>
    <w:basedOn w:val="FontParagrafDefault"/>
    <w:link w:val="Judul6"/>
    <w:uiPriority w:val="9"/>
    <w:semiHidden/>
    <w:rsid w:val="00067D5A"/>
    <w:rPr>
      <w:rFonts w:asciiTheme="majorHAnsi" w:eastAsiaTheme="majorEastAsia" w:hAnsiTheme="majorHAnsi" w:cstheme="majorBidi"/>
      <w:i/>
      <w:iCs/>
      <w:color w:val="17365D" w:themeColor="text2" w:themeShade="BF"/>
    </w:rPr>
  </w:style>
  <w:style w:type="character" w:customStyle="1" w:styleId="Judul7KAR">
    <w:name w:val="Judul 7 KAR"/>
    <w:basedOn w:val="FontParagrafDefault"/>
    <w:link w:val="Judul7"/>
    <w:uiPriority w:val="9"/>
    <w:semiHidden/>
    <w:rsid w:val="00067D5A"/>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Judul9KAR">
    <w:name w:val="Judul 9 KAR"/>
    <w:basedOn w:val="FontParagrafDefault"/>
    <w:link w:val="Judul9"/>
    <w:uiPriority w:val="9"/>
    <w:semiHidden/>
    <w:rsid w:val="00067D5A"/>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067D5A"/>
    <w:pPr>
      <w:spacing w:after="200" w:line="240" w:lineRule="auto"/>
    </w:pPr>
    <w:rPr>
      <w:i/>
      <w:iCs/>
      <w:color w:val="1F497D" w:themeColor="text2"/>
      <w:sz w:val="18"/>
      <w:szCs w:val="18"/>
    </w:rPr>
  </w:style>
  <w:style w:type="character" w:customStyle="1" w:styleId="JudulKAR">
    <w:name w:val="Judul KAR"/>
    <w:basedOn w:val="FontParagrafDefault"/>
    <w:link w:val="Judul"/>
    <w:uiPriority w:val="10"/>
    <w:rsid w:val="00067D5A"/>
    <w:rPr>
      <w:rFonts w:asciiTheme="majorHAnsi" w:eastAsiaTheme="majorEastAsia" w:hAnsiTheme="majorHAnsi" w:cstheme="majorBidi"/>
      <w:color w:val="000000" w:themeColor="text1"/>
      <w:sz w:val="56"/>
      <w:szCs w:val="56"/>
    </w:rPr>
  </w:style>
  <w:style w:type="paragraph" w:styleId="Subjudul">
    <w:name w:val="Subtitle"/>
    <w:basedOn w:val="Normal"/>
    <w:next w:val="Normal"/>
    <w:link w:val="SubjudulKAR"/>
    <w:uiPriority w:val="11"/>
    <w:qFormat/>
    <w:rPr>
      <w:color w:val="5A5A5A"/>
    </w:rPr>
  </w:style>
  <w:style w:type="character" w:customStyle="1" w:styleId="SubjudulKAR">
    <w:name w:val="Subjudul KAR"/>
    <w:basedOn w:val="FontParagrafDefault"/>
    <w:link w:val="Subjudul"/>
    <w:uiPriority w:val="11"/>
    <w:rsid w:val="00067D5A"/>
    <w:rPr>
      <w:color w:val="5A5A5A" w:themeColor="text1" w:themeTint="A5"/>
      <w:spacing w:val="10"/>
    </w:rPr>
  </w:style>
  <w:style w:type="paragraph" w:styleId="TidakAdaSpasi">
    <w:name w:val="No Spacing"/>
    <w:uiPriority w:val="1"/>
    <w:qFormat/>
    <w:rsid w:val="00067D5A"/>
    <w:pPr>
      <w:spacing w:after="0" w:line="240" w:lineRule="auto"/>
    </w:pPr>
  </w:style>
  <w:style w:type="paragraph" w:styleId="Kutipan">
    <w:name w:val="Quote"/>
    <w:basedOn w:val="Normal"/>
    <w:next w:val="Normal"/>
    <w:link w:val="KutipanKAR"/>
    <w:uiPriority w:val="29"/>
    <w:qFormat/>
    <w:rsid w:val="00067D5A"/>
    <w:pPr>
      <w:spacing w:before="160"/>
      <w:ind w:left="720" w:right="720"/>
    </w:pPr>
    <w:rPr>
      <w:i/>
      <w:iCs/>
      <w:color w:val="000000" w:themeColor="text1"/>
    </w:rPr>
  </w:style>
  <w:style w:type="character" w:customStyle="1" w:styleId="KutipanKAR">
    <w:name w:val="Kutipan KAR"/>
    <w:basedOn w:val="FontParagrafDefault"/>
    <w:link w:val="Kutipan"/>
    <w:uiPriority w:val="29"/>
    <w:rsid w:val="00067D5A"/>
    <w:rPr>
      <w:i/>
      <w:iCs/>
      <w:color w:val="000000" w:themeColor="text1"/>
    </w:rPr>
  </w:style>
  <w:style w:type="paragraph" w:styleId="KutipanyangSering">
    <w:name w:val="Intense Quote"/>
    <w:basedOn w:val="Normal"/>
    <w:next w:val="Normal"/>
    <w:link w:val="KutipanyangSeringK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KutipanyangSeringKAR">
    <w:name w:val="Kutipan yang Sering KAR"/>
    <w:basedOn w:val="FontParagrafDefault"/>
    <w:link w:val="KutipanyangSering"/>
    <w:uiPriority w:val="30"/>
    <w:rsid w:val="00067D5A"/>
    <w:rPr>
      <w:color w:val="000000" w:themeColor="text1"/>
      <w:shd w:val="clear" w:color="auto" w:fill="F2F2F2" w:themeFill="background1" w:themeFillShade="F2"/>
    </w:rPr>
  </w:style>
  <w:style w:type="character" w:styleId="PenekananHalus">
    <w:name w:val="Subtle Emphasis"/>
    <w:basedOn w:val="FontParagrafDefault"/>
    <w:uiPriority w:val="19"/>
    <w:qFormat/>
    <w:rsid w:val="00067D5A"/>
    <w:rPr>
      <w:i/>
      <w:iCs/>
      <w:color w:val="404040" w:themeColor="text1" w:themeTint="BF"/>
    </w:rPr>
  </w:style>
  <w:style w:type="character" w:styleId="PenekananKeras">
    <w:name w:val="Intense Emphasis"/>
    <w:basedOn w:val="FontParagrafDefault"/>
    <w:uiPriority w:val="21"/>
    <w:qFormat/>
    <w:rsid w:val="00067D5A"/>
    <w:rPr>
      <w:b/>
      <w:bCs/>
      <w:i/>
      <w:iCs/>
      <w:caps/>
    </w:rPr>
  </w:style>
  <w:style w:type="character" w:styleId="ReferensiRumit">
    <w:name w:val="Subtle Reference"/>
    <w:basedOn w:val="FontParagrafDefault"/>
    <w:uiPriority w:val="31"/>
    <w:qFormat/>
    <w:rsid w:val="00067D5A"/>
    <w:rPr>
      <w:smallCaps/>
      <w:color w:val="404040" w:themeColor="text1" w:themeTint="BF"/>
      <w:u w:val="single" w:color="7F7F7F" w:themeColor="text1" w:themeTint="80"/>
    </w:rPr>
  </w:style>
  <w:style w:type="character" w:styleId="ReferensiyangSering">
    <w:name w:val="Intense Reference"/>
    <w:basedOn w:val="FontParagrafDefault"/>
    <w:uiPriority w:val="32"/>
    <w:qFormat/>
    <w:rsid w:val="00067D5A"/>
    <w:rPr>
      <w:b/>
      <w:bCs/>
      <w:smallCaps/>
      <w:u w:val="single"/>
    </w:rPr>
  </w:style>
  <w:style w:type="character" w:styleId="JudulBuku">
    <w:name w:val="Book Title"/>
    <w:basedOn w:val="FontParagrafDefault"/>
    <w:uiPriority w:val="33"/>
    <w:qFormat/>
    <w:rsid w:val="00067D5A"/>
    <w:rPr>
      <w:b w:val="0"/>
      <w:bCs w:val="0"/>
      <w:smallCaps/>
      <w:spacing w:val="5"/>
    </w:rPr>
  </w:style>
  <w:style w:type="paragraph" w:styleId="JudulTOC">
    <w:name w:val="TOC Heading"/>
    <w:basedOn w:val="Judul1"/>
    <w:next w:val="Normal"/>
    <w:uiPriority w:val="39"/>
    <w:semiHidden/>
    <w:unhideWhenUsed/>
    <w:qFormat/>
    <w:rsid w:val="00067D5A"/>
    <w:pPr>
      <w:outlineLvl w:val="9"/>
    </w:pPr>
  </w:style>
  <w:style w:type="table" w:customStyle="1" w:styleId="LightShading1">
    <w:name w:val="Light Shading1"/>
    <w:basedOn w:val="TabelNormal"/>
    <w:next w:val="BayanganTipis"/>
    <w:uiPriority w:val="60"/>
    <w:semiHidden/>
    <w:unhideWhenUsed/>
    <w:rsid w:val="00364889"/>
    <w:pPr>
      <w:spacing w:after="0" w:line="240" w:lineRule="auto"/>
    </w:pPr>
    <w:rPr>
      <w:rFonts w:eastAsia="MS Mincho"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elBiasa2">
    <w:name w:val="Plain Table 2"/>
    <w:basedOn w:val="TabelNormal"/>
    <w:uiPriority w:val="42"/>
    <w:rsid w:val="00AD61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el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el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elNormal"/>
    <w:pPr>
      <w:spacing w:after="0" w:line="240" w:lineRule="auto"/>
    </w:pPr>
    <w:tblPr>
      <w:tblStyleRowBandSize w:val="1"/>
      <w:tblStyleColBandSize w:val="1"/>
    </w:tblPr>
  </w:style>
  <w:style w:type="character" w:styleId="SebutanYangBelumTerselesaikan">
    <w:name w:val="Unresolved Mention"/>
    <w:basedOn w:val="FontParagrafDefault"/>
    <w:uiPriority w:val="99"/>
    <w:semiHidden/>
    <w:unhideWhenUsed/>
    <w:rsid w:val="00493E83"/>
    <w:rPr>
      <w:color w:val="605E5C"/>
      <w:shd w:val="clear" w:color="auto" w:fill="E1DFDD"/>
    </w:rPr>
  </w:style>
  <w:style w:type="paragraph" w:styleId="Bibliografi">
    <w:name w:val="Bibliography"/>
    <w:basedOn w:val="Normal"/>
    <w:next w:val="Normal"/>
    <w:uiPriority w:val="37"/>
    <w:unhideWhenUsed/>
    <w:rsid w:val="006432EC"/>
    <w:pPr>
      <w:widowControl w:val="0"/>
      <w:spacing w:after="200" w:line="276" w:lineRule="auto"/>
    </w:pPr>
    <w:rPr>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0/1523908X.2024.2317793" TargetMode="External"/><Relationship Id="rId18" Type="http://schemas.openxmlformats.org/officeDocument/2006/relationships/hyperlink" Target="https://doi.org/10.1017/S0047279422000976" TargetMode="External"/><Relationship Id="rId26" Type="http://schemas.openxmlformats.org/officeDocument/2006/relationships/hyperlink" Target="https://doi.org/10.1177/01968599211072438" TargetMode="External"/><Relationship Id="rId21" Type="http://schemas.openxmlformats.org/officeDocument/2006/relationships/hyperlink" Target="https://doi.org/10.1080/15239080500339646"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17576/jkmjc-2020-3603-13" TargetMode="External"/><Relationship Id="rId25" Type="http://schemas.openxmlformats.org/officeDocument/2006/relationships/hyperlink" Target="https://doi.org/10.1111/j.1540-5907.2011.00580.x"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pac.perpusnas.go.id/DetailOpac.aspx?id=1509128" TargetMode="External"/><Relationship Id="rId20" Type="http://schemas.openxmlformats.org/officeDocument/2006/relationships/hyperlink" Target="https://doi.org/10.1057/eps.2002.49" TargetMode="External"/><Relationship Id="rId29" Type="http://schemas.openxmlformats.org/officeDocument/2006/relationships/hyperlink" Target="https://www.publicdeliberation.net/the-impact-and-ongoing-development-of-deliberative-policy-analys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17645/pag.v8i2.3249"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80/01442872.2020.1774147" TargetMode="External"/><Relationship Id="rId23" Type="http://schemas.openxmlformats.org/officeDocument/2006/relationships/hyperlink" Target="https://doi.org/10.1093/oxfordhb/9780190228217.013.25" TargetMode="External"/><Relationship Id="rId28" Type="http://schemas.openxmlformats.org/officeDocument/2006/relationships/hyperlink" Target="https://doi.org/10.1080/17524032.2021.1973528"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1093/019829333X.001.0001"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doi.org/10.1017/9781108348195" TargetMode="External"/><Relationship Id="rId22" Type="http://schemas.openxmlformats.org/officeDocument/2006/relationships/hyperlink" Target="https://remote-lib.ui.ac.id:2216/doi/full/10.1080/02681102.2020.1818544" TargetMode="External"/><Relationship Id="rId27" Type="http://schemas.openxmlformats.org/officeDocument/2006/relationships/hyperlink" Target="https://doi.org/10.3390/journalmedia6030124"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osains.greenvest.co.id/index.php/sosa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ja6nk4SsSTOZhs/dreoC/9H+Q==">CgMxLjA4AHIhMUFKdWNBLW43MlBHWjhwcDdXVDBtMER2dU9UV3JaZ2xj</go:docsCustomData>
</go:gDocsCustomXmlDataStorage>
</file>

<file path=customXml/itemProps1.xml><?xml version="1.0" encoding="utf-8"?>
<ds:datastoreItem xmlns:ds="http://schemas.openxmlformats.org/officeDocument/2006/customXml" ds:itemID="{EFC22E60-668E-40A3-AB1F-27936E760F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8088</Words>
  <Characters>46108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vika fransisca</cp:lastModifiedBy>
  <cp:revision>3</cp:revision>
  <dcterms:created xsi:type="dcterms:W3CDTF">2026-02-27T07:17:00Z</dcterms:created>
  <dcterms:modified xsi:type="dcterms:W3CDTF">2026-02-28T09:59:00Z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fc7e1b74-96b5-35d2-93f4-149798a59da5</vt:lpwstr>
  </property>
  <property fmtid="{D5CDD505-2E9C-101B-9397-08002B2CF9AE}" pid="24" name="Mendeley Citation Style_1">
    <vt:lpwstr>http://www.zotero.org/styles/apa</vt:lpwstr>
  </property>
</Properties>
</file>