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
        <w:tblpPr w:leftFromText="180" w:rightFromText="180" w:horzAnchor="margin" w:tblpY="-495"/>
        <w:tblW w:w="5000" w:type="pct"/>
        <w:tblLook w:val="04A0" w:firstRow="1" w:lastRow="0" w:firstColumn="1" w:lastColumn="0" w:noHBand="0" w:noVBand="1"/>
      </w:tblPr>
      <w:tblGrid>
        <w:gridCol w:w="8504"/>
      </w:tblGrid>
      <w:tr w:rsidR="004435CF" w:rsidRPr="001B0B69" w14:paraId="445B7A92" w14:textId="77777777" w:rsidTr="001B5F36">
        <w:trPr>
          <w:cnfStyle w:val="100000000000" w:firstRow="1" w:lastRow="0" w:firstColumn="0" w:lastColumn="0" w:oddVBand="0" w:evenVBand="0" w:oddHBand="0"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5000" w:type="pct"/>
            <w:tcBorders>
              <w:top w:val="nil"/>
              <w:bottom w:val="single" w:sz="18" w:space="0" w:color="002060"/>
            </w:tcBorders>
            <w:vAlign w:val="center"/>
          </w:tcPr>
          <w:p w14:paraId="306DA81A" w14:textId="6E623C09" w:rsidR="004435CF" w:rsidRPr="001B0B69" w:rsidRDefault="004435CF" w:rsidP="001B5F36">
            <w:pPr>
              <w:pStyle w:val="Header"/>
              <w:tabs>
                <w:tab w:val="clear" w:pos="4513"/>
                <w:tab w:val="center" w:pos="4320"/>
              </w:tabs>
              <w:rPr>
                <w:rFonts w:ascii="Cambria Math" w:hAnsi="Cambria Math" w:cs="Times New Roman"/>
                <w:b w:val="0"/>
                <w:bCs w:val="0"/>
                <w:color w:val="002060"/>
                <w:szCs w:val="20"/>
              </w:rPr>
            </w:pPr>
            <w:r w:rsidRPr="001B0B69">
              <w:rPr>
                <w:rFonts w:cs="Times New Roman"/>
                <w:noProof/>
                <w:color w:val="FF0000"/>
                <w:szCs w:val="20"/>
              </w:rPr>
              <w:drawing>
                <wp:anchor distT="0" distB="0" distL="114300" distR="114300" simplePos="0" relativeHeight="251659264" behindDoc="0" locked="0" layoutInCell="1" allowOverlap="1" wp14:anchorId="7AFECC75" wp14:editId="1B7F009C">
                  <wp:simplePos x="0" y="0"/>
                  <wp:positionH relativeFrom="margin">
                    <wp:posOffset>-49530</wp:posOffset>
                  </wp:positionH>
                  <wp:positionV relativeFrom="margin">
                    <wp:posOffset>13970</wp:posOffset>
                  </wp:positionV>
                  <wp:extent cx="1990725" cy="857250"/>
                  <wp:effectExtent l="19050" t="0" r="21907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a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0725" cy="8572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9D6AAA9" w14:textId="77777777" w:rsidR="004435CF" w:rsidRPr="001B0B69" w:rsidRDefault="004435CF" w:rsidP="001B5F36">
            <w:pPr>
              <w:pStyle w:val="Header"/>
              <w:tabs>
                <w:tab w:val="clear" w:pos="4513"/>
                <w:tab w:val="center" w:pos="4320"/>
              </w:tabs>
              <w:rPr>
                <w:rFonts w:cs="Times New Roman"/>
                <w:b w:val="0"/>
                <w:bCs w:val="0"/>
                <w:color w:val="000000" w:themeColor="text1"/>
                <w:szCs w:val="20"/>
              </w:rPr>
            </w:pPr>
            <w:r w:rsidRPr="001B0B69">
              <w:rPr>
                <w:rFonts w:ascii="Cambria Math" w:hAnsi="Cambria Math" w:cs="Times New Roman"/>
                <w:b w:val="0"/>
                <w:bCs w:val="0"/>
                <w:color w:val="002060"/>
                <w:szCs w:val="20"/>
              </w:rPr>
              <w:t>Eduvest – Journal of Universal Studies</w:t>
            </w:r>
          </w:p>
          <w:p w14:paraId="3B5DFE98" w14:textId="60476A97" w:rsidR="004435CF" w:rsidRPr="001B0B69" w:rsidRDefault="004435CF" w:rsidP="001B5F36">
            <w:pPr>
              <w:pStyle w:val="Header"/>
              <w:tabs>
                <w:tab w:val="clear" w:pos="4513"/>
                <w:tab w:val="center" w:pos="4320"/>
              </w:tabs>
              <w:rPr>
                <w:rFonts w:ascii="Cambria Math" w:hAnsi="Cambria Math" w:cs="Times New Roman"/>
                <w:b w:val="0"/>
                <w:bCs w:val="0"/>
                <w:color w:val="002060"/>
                <w:szCs w:val="20"/>
              </w:rPr>
            </w:pPr>
            <w:r w:rsidRPr="001B0B69">
              <w:rPr>
                <w:rFonts w:ascii="Cambria Math" w:hAnsi="Cambria Math" w:cs="Times New Roman"/>
                <w:b w:val="0"/>
                <w:bCs w:val="0"/>
                <w:color w:val="002060"/>
                <w:szCs w:val="20"/>
              </w:rPr>
              <w:t xml:space="preserve">Volume 5 Number </w:t>
            </w:r>
            <w:r w:rsidR="00721B9A">
              <w:rPr>
                <w:rFonts w:ascii="Cambria Math" w:hAnsi="Cambria Math" w:cs="Times New Roman"/>
                <w:b w:val="0"/>
                <w:bCs w:val="0"/>
                <w:color w:val="002060"/>
                <w:szCs w:val="20"/>
              </w:rPr>
              <w:t>7</w:t>
            </w:r>
            <w:r w:rsidRPr="001B0B69">
              <w:rPr>
                <w:rFonts w:ascii="Cambria Math" w:hAnsi="Cambria Math" w:cs="Times New Roman"/>
                <w:b w:val="0"/>
                <w:bCs w:val="0"/>
                <w:color w:val="002060"/>
                <w:szCs w:val="20"/>
              </w:rPr>
              <w:t>, J</w:t>
            </w:r>
            <w:r w:rsidR="00721B9A">
              <w:rPr>
                <w:rFonts w:ascii="Cambria Math" w:hAnsi="Cambria Math" w:cs="Times New Roman"/>
                <w:b w:val="0"/>
                <w:bCs w:val="0"/>
                <w:color w:val="002060"/>
                <w:szCs w:val="20"/>
              </w:rPr>
              <w:t>uly</w:t>
            </w:r>
            <w:r w:rsidRPr="001B0B69">
              <w:rPr>
                <w:rFonts w:ascii="Cambria Math" w:hAnsi="Cambria Math" w:cs="Times New Roman"/>
                <w:b w:val="0"/>
                <w:bCs w:val="0"/>
                <w:color w:val="002060"/>
                <w:szCs w:val="20"/>
              </w:rPr>
              <w:t>, 2025</w:t>
            </w:r>
          </w:p>
          <w:p w14:paraId="1FFCE7F6" w14:textId="77777777" w:rsidR="004435CF" w:rsidRPr="001B0B69" w:rsidRDefault="004435CF" w:rsidP="001B5F36">
            <w:pPr>
              <w:pStyle w:val="Header"/>
              <w:ind w:right="-6"/>
              <w:rPr>
                <w:rFonts w:ascii="Cambria Math" w:hAnsi="Cambria Math" w:cs="Times New Roman"/>
                <w:b w:val="0"/>
                <w:bCs w:val="0"/>
                <w:color w:val="002060"/>
                <w:szCs w:val="20"/>
              </w:rPr>
            </w:pPr>
            <w:r w:rsidRPr="001B0B69">
              <w:rPr>
                <w:rFonts w:ascii="Cambria Math" w:hAnsi="Cambria Math" w:cs="Times New Roman"/>
                <w:b w:val="0"/>
                <w:bCs w:val="0"/>
                <w:color w:val="002060"/>
                <w:szCs w:val="20"/>
              </w:rPr>
              <w:t>p- ISSN 2775-3735</w:t>
            </w:r>
            <w:hyperlink r:id="rId9" w:tgtFrame="_blank" w:tooltip="e ISSN" w:history="1">
              <w:r w:rsidRPr="001B0B69">
                <w:rPr>
                  <w:rStyle w:val="Hyperlink"/>
                  <w:rFonts w:ascii="Cambria Math" w:hAnsi="Cambria Math" w:cs="Times New Roman"/>
                  <w:b w:val="0"/>
                  <w:bCs w:val="0"/>
                  <w:color w:val="002060"/>
                </w:rPr>
                <w:t>-</w:t>
              </w:r>
            </w:hyperlink>
            <w:r w:rsidRPr="001B0B69">
              <w:rPr>
                <w:rFonts w:ascii="Cambria Math" w:hAnsi="Cambria Math" w:cs="Times New Roman"/>
                <w:b w:val="0"/>
                <w:bCs w:val="0"/>
                <w:color w:val="002060"/>
                <w:szCs w:val="20"/>
              </w:rPr>
              <w:t xml:space="preserve"> e-ISSN 2775-3727</w:t>
            </w:r>
          </w:p>
        </w:tc>
      </w:tr>
      <w:tr w:rsidR="004435CF" w:rsidRPr="001B0B69" w14:paraId="57923953" w14:textId="77777777" w:rsidTr="001B5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tcBorders>
            <w:shd w:val="clear" w:color="auto" w:fill="auto"/>
          </w:tcPr>
          <w:p w14:paraId="047A0158" w14:textId="77777777" w:rsidR="004435CF" w:rsidRPr="001B0B69" w:rsidRDefault="004435CF" w:rsidP="001B5F36">
            <w:pPr>
              <w:spacing w:line="240" w:lineRule="auto"/>
              <w:rPr>
                <w:rFonts w:cs="Times New Roman"/>
                <w:b w:val="0"/>
                <w:bCs w:val="0"/>
                <w:sz w:val="28"/>
                <w:szCs w:val="28"/>
              </w:rPr>
            </w:pPr>
          </w:p>
        </w:tc>
      </w:tr>
      <w:tr w:rsidR="004435CF" w:rsidRPr="001B0B69" w14:paraId="0B05CA91" w14:textId="77777777" w:rsidTr="001B5F36">
        <w:tc>
          <w:tcPr>
            <w:cnfStyle w:val="001000000000" w:firstRow="0" w:lastRow="0" w:firstColumn="1" w:lastColumn="0" w:oddVBand="0" w:evenVBand="0" w:oddHBand="0" w:evenHBand="0" w:firstRowFirstColumn="0" w:firstRowLastColumn="0" w:lastRowFirstColumn="0" w:lastRowLastColumn="0"/>
            <w:tcW w:w="5000" w:type="pct"/>
            <w:tcBorders>
              <w:bottom w:val="single" w:sz="18" w:space="0" w:color="FFFFFF" w:themeColor="background1"/>
            </w:tcBorders>
          </w:tcPr>
          <w:p w14:paraId="1ACB1223" w14:textId="77777777" w:rsidR="004435CF" w:rsidRDefault="0060240B" w:rsidP="001B5F36">
            <w:pPr>
              <w:spacing w:line="240" w:lineRule="auto"/>
              <w:jc w:val="center"/>
              <w:rPr>
                <w:rFonts w:ascii="Arial Rounded MT Bold" w:hAnsi="Arial Rounded MT Bold" w:cs="Aharoni"/>
                <w:b w:val="0"/>
                <w:bCs w:val="0"/>
                <w:color w:val="002060"/>
                <w:sz w:val="28"/>
                <w:szCs w:val="28"/>
              </w:rPr>
            </w:pPr>
            <w:r w:rsidRPr="001B0B69">
              <w:rPr>
                <w:rFonts w:ascii="Arial Rounded MT Bold" w:hAnsi="Arial Rounded MT Bold" w:cs="Aharoni"/>
                <w:color w:val="002060"/>
                <w:sz w:val="28"/>
                <w:szCs w:val="28"/>
              </w:rPr>
              <w:t>The Influence of Budget Participation, Motivation, and Competence on the Managerial Performance of Datu Kandang Haji Hospital</w:t>
            </w:r>
          </w:p>
          <w:p w14:paraId="4BC80460" w14:textId="77777777" w:rsidR="001B5F36" w:rsidRDefault="001B5F36" w:rsidP="001B5F36">
            <w:pPr>
              <w:spacing w:line="240" w:lineRule="auto"/>
              <w:rPr>
                <w:rFonts w:ascii="Cambria Math" w:hAnsi="Cambria Math" w:cs="Aharoni"/>
                <w:color w:val="auto"/>
                <w:szCs w:val="24"/>
              </w:rPr>
            </w:pPr>
          </w:p>
          <w:p w14:paraId="19832C00" w14:textId="535CB043" w:rsidR="001B5F36" w:rsidRPr="001B5F36" w:rsidRDefault="007C0926" w:rsidP="001B5F36">
            <w:pPr>
              <w:spacing w:line="240" w:lineRule="auto"/>
              <w:rPr>
                <w:rFonts w:ascii="Cambria Math" w:hAnsi="Cambria Math" w:cs="Aharoni"/>
                <w:color w:val="auto"/>
                <w:szCs w:val="24"/>
              </w:rPr>
            </w:pPr>
            <w:r w:rsidRPr="001B5F36">
              <w:rPr>
                <w:rFonts w:ascii="Cambria Math" w:hAnsi="Cambria Math" w:cs="Aharoni"/>
                <w:color w:val="auto"/>
                <w:szCs w:val="24"/>
              </w:rPr>
              <w:t xml:space="preserve">Diah Afrianti*, Kadir, Sarwani </w:t>
            </w:r>
          </w:p>
          <w:p w14:paraId="072ED152" w14:textId="77777777" w:rsidR="001B5F36" w:rsidRDefault="007C0926" w:rsidP="001B5F36">
            <w:pPr>
              <w:spacing w:line="240" w:lineRule="auto"/>
              <w:rPr>
                <w:rFonts w:ascii="Cambria Math" w:hAnsi="Cambria Math" w:cs="Aharoni"/>
                <w:color w:val="auto"/>
                <w:szCs w:val="24"/>
              </w:rPr>
            </w:pPr>
            <w:r w:rsidRPr="001B5F36">
              <w:rPr>
                <w:rFonts w:ascii="Cambria Math" w:hAnsi="Cambria Math" w:cs="Aharoni"/>
                <w:b w:val="0"/>
                <w:bCs w:val="0"/>
                <w:color w:val="auto"/>
                <w:szCs w:val="24"/>
              </w:rPr>
              <w:t xml:space="preserve">Universitas Lambung Mangkurat, Indonesia </w:t>
            </w:r>
          </w:p>
          <w:p w14:paraId="742A04C4" w14:textId="583BBF82" w:rsidR="007C0926" w:rsidRPr="001B5F36" w:rsidRDefault="007C0926" w:rsidP="001B5F36">
            <w:pPr>
              <w:spacing w:line="240" w:lineRule="auto"/>
              <w:rPr>
                <w:rFonts w:ascii="Cambria Math" w:hAnsi="Cambria Math" w:cs="Aharoni"/>
                <w:b w:val="0"/>
                <w:bCs w:val="0"/>
                <w:color w:val="002060"/>
                <w:sz w:val="28"/>
                <w:szCs w:val="28"/>
              </w:rPr>
            </w:pPr>
            <w:r w:rsidRPr="001B5F36">
              <w:rPr>
                <w:rFonts w:ascii="Cambria Math" w:hAnsi="Cambria Math" w:cs="Aharoni"/>
                <w:b w:val="0"/>
                <w:bCs w:val="0"/>
                <w:color w:val="auto"/>
                <w:szCs w:val="24"/>
              </w:rPr>
              <w:t>Email: diahafrianti17@gmail.com</w:t>
            </w:r>
          </w:p>
        </w:tc>
      </w:tr>
      <w:tr w:rsidR="004435CF" w:rsidRPr="001B0B69" w14:paraId="22450E99" w14:textId="77777777" w:rsidTr="001B5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18" w:space="0" w:color="FFFFFF" w:themeColor="background1"/>
              <w:bottom w:val="single" w:sz="18" w:space="0" w:color="002060"/>
            </w:tcBorders>
            <w:shd w:val="clear" w:color="auto" w:fill="auto"/>
          </w:tcPr>
          <w:p w14:paraId="38A1624E" w14:textId="6F338746" w:rsidR="004435CF" w:rsidRPr="001B0B69" w:rsidRDefault="004435CF" w:rsidP="001B5F36">
            <w:pPr>
              <w:spacing w:line="240" w:lineRule="auto"/>
              <w:ind w:right="-73"/>
              <w:jc w:val="left"/>
              <w:rPr>
                <w:rFonts w:ascii="Cambria Math" w:hAnsi="Cambria Math" w:cs="Times New Roman"/>
                <w:b w:val="0"/>
                <w:bCs w:val="0"/>
                <w:szCs w:val="24"/>
              </w:rPr>
            </w:pPr>
          </w:p>
        </w:tc>
      </w:tr>
    </w:tbl>
    <w:tbl>
      <w:tblPr>
        <w:tblStyle w:val="LightShading1"/>
        <w:tblW w:w="5000" w:type="pct"/>
        <w:tblInd w:w="0" w:type="dxa"/>
        <w:tblLook w:val="04A0" w:firstRow="1" w:lastRow="0" w:firstColumn="1" w:lastColumn="0" w:noHBand="0" w:noVBand="1"/>
      </w:tblPr>
      <w:tblGrid>
        <w:gridCol w:w="1526"/>
        <w:gridCol w:w="6978"/>
      </w:tblGrid>
      <w:tr w:rsidR="001B5F36" w:rsidRPr="001B0B69" w14:paraId="3D06DE15" w14:textId="77777777" w:rsidTr="001B5F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18" w:space="0" w:color="002060"/>
            </w:tcBorders>
            <w:hideMark/>
          </w:tcPr>
          <w:p w14:paraId="192F0CB3" w14:textId="77777777" w:rsidR="001B5F36" w:rsidRPr="001B0B69" w:rsidRDefault="001B5F36" w:rsidP="004435CF">
            <w:pPr>
              <w:spacing w:line="240" w:lineRule="auto"/>
              <w:jc w:val="center"/>
              <w:rPr>
                <w:rFonts w:ascii="Cambria Math" w:hAnsi="Cambria Math"/>
                <w:szCs w:val="24"/>
              </w:rPr>
            </w:pPr>
            <w:r w:rsidRPr="001B0B69">
              <w:rPr>
                <w:color w:val="002060"/>
                <w:szCs w:val="24"/>
              </w:rPr>
              <w:t>ABSTRACT</w:t>
            </w:r>
          </w:p>
        </w:tc>
      </w:tr>
      <w:tr w:rsidR="001B5F36" w:rsidRPr="001B0B69" w14:paraId="7031D6D2" w14:textId="77777777" w:rsidTr="001B5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8" w:space="0" w:color="002060"/>
              <w:bottom w:val="single" w:sz="18" w:space="0" w:color="002060"/>
            </w:tcBorders>
            <w:shd w:val="clear" w:color="auto" w:fill="F2F2F2"/>
            <w:hideMark/>
          </w:tcPr>
          <w:p w14:paraId="59A37E51" w14:textId="666E08EE" w:rsidR="001B5F36" w:rsidRPr="001B5F36" w:rsidRDefault="001B5F36" w:rsidP="002317CE">
            <w:pPr>
              <w:shd w:val="clear" w:color="auto" w:fill="D9D9D9"/>
              <w:spacing w:line="240" w:lineRule="auto"/>
              <w:contextualSpacing/>
              <w:rPr>
                <w:rFonts w:cs="Calibri"/>
                <w:b w:val="0"/>
                <w:bCs w:val="0"/>
                <w:i/>
                <w:sz w:val="22"/>
              </w:rPr>
            </w:pPr>
            <w:r w:rsidRPr="001B5F36">
              <w:rPr>
                <w:rFonts w:eastAsia="Times New Roman" w:cs="Calibri"/>
                <w:b w:val="0"/>
                <w:bCs w:val="0"/>
                <w:i/>
                <w:sz w:val="22"/>
              </w:rPr>
              <w:t>The purpose of this study is to examine several factors that affect managerial performance. Some of the factors tested and analyzed are budget participation, motivation, and competence at Datu Kandang Haji Hospital. The sample used in this study were managers at Datu Kandang Haji Hospital. The sample selection method uses the saturated sampling method (census), which is a sampling technique if all members of the population are used as samples. The number of managers sampled in this study were 33 managers. The data analysis technique used is multiple linear regression analysis using the SPSS version 25 program. The results showed that budget participation has a positive effect on managerial performance. Motivation and competence have no effect on managerial performance at Datu Kandang Haji Hospital.</w:t>
            </w:r>
          </w:p>
        </w:tc>
      </w:tr>
      <w:tr w:rsidR="001B5F36" w:rsidRPr="001B0B69" w14:paraId="59471269" w14:textId="77777777" w:rsidTr="001B5F36">
        <w:trPr>
          <w:trHeight w:val="195"/>
        </w:trPr>
        <w:tc>
          <w:tcPr>
            <w:cnfStyle w:val="001000000000" w:firstRow="0" w:lastRow="0" w:firstColumn="1" w:lastColumn="0" w:oddVBand="0" w:evenVBand="0" w:oddHBand="0" w:evenHBand="0" w:firstRowFirstColumn="0" w:firstRowLastColumn="0" w:lastRowFirstColumn="0" w:lastRowLastColumn="0"/>
            <w:tcW w:w="897" w:type="pct"/>
            <w:tcBorders>
              <w:top w:val="single" w:sz="18" w:space="0" w:color="002060"/>
              <w:bottom w:val="single" w:sz="18" w:space="0" w:color="002060"/>
              <w:right w:val="nil"/>
            </w:tcBorders>
            <w:hideMark/>
          </w:tcPr>
          <w:p w14:paraId="1B9606CE" w14:textId="77777777" w:rsidR="001B5F36" w:rsidRPr="001B0B69" w:rsidRDefault="001B5F36" w:rsidP="004435CF">
            <w:pPr>
              <w:spacing w:line="240" w:lineRule="auto"/>
              <w:rPr>
                <w:rFonts w:ascii="Cambria Math" w:hAnsi="Cambria Math"/>
                <w:b w:val="0"/>
                <w:bCs w:val="0"/>
                <w:sz w:val="22"/>
              </w:rPr>
            </w:pPr>
            <w:r w:rsidRPr="001B0B69">
              <w:rPr>
                <w:color w:val="002060"/>
                <w:sz w:val="22"/>
              </w:rPr>
              <w:t>KEYWORDS</w:t>
            </w:r>
          </w:p>
        </w:tc>
        <w:tc>
          <w:tcPr>
            <w:tcW w:w="4103" w:type="pct"/>
            <w:tcBorders>
              <w:top w:val="single" w:sz="18" w:space="0" w:color="002060"/>
              <w:left w:val="nil"/>
              <w:bottom w:val="single" w:sz="18" w:space="0" w:color="002060"/>
              <w:right w:val="nil"/>
            </w:tcBorders>
            <w:shd w:val="clear" w:color="auto" w:fill="F2F2F2"/>
            <w:hideMark/>
          </w:tcPr>
          <w:p w14:paraId="658FD0B8" w14:textId="7B100AFC" w:rsidR="001B5F36" w:rsidRPr="001B0B69" w:rsidRDefault="001B5F36" w:rsidP="004435CF">
            <w:pPr>
              <w:tabs>
                <w:tab w:val="left" w:pos="220"/>
                <w:tab w:val="left" w:pos="720"/>
              </w:tabs>
              <w:autoSpaceDE w:val="0"/>
              <w:autoSpaceDN w:val="0"/>
              <w:adjustRightInd w:val="0"/>
              <w:spacing w:line="240" w:lineRule="auto"/>
              <w:contextualSpacing/>
              <w:cnfStyle w:val="000000000000" w:firstRow="0" w:lastRow="0" w:firstColumn="0" w:lastColumn="0" w:oddVBand="0" w:evenVBand="0" w:oddHBand="0" w:evenHBand="0" w:firstRowFirstColumn="0" w:firstRowLastColumn="0" w:lastRowFirstColumn="0" w:lastRowLastColumn="0"/>
              <w:rPr>
                <w:rFonts w:cs="Calibri"/>
                <w:i/>
                <w:color w:val="191919"/>
                <w:sz w:val="22"/>
              </w:rPr>
            </w:pPr>
            <w:r w:rsidRPr="001B0B69">
              <w:rPr>
                <w:rFonts w:cs="Calibri"/>
                <w:i/>
                <w:color w:val="191919"/>
                <w:sz w:val="22"/>
              </w:rPr>
              <w:t>Managerial Performance, Budget Participation, Motivation, Competence.</w:t>
            </w:r>
          </w:p>
        </w:tc>
      </w:tr>
      <w:tr w:rsidR="001B5F36" w:rsidRPr="001B0B69" w14:paraId="6A86FB93" w14:textId="77777777" w:rsidTr="001B5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Borders>
              <w:top w:val="single" w:sz="18" w:space="0" w:color="002060"/>
              <w:bottom w:val="single" w:sz="18" w:space="0" w:color="002060"/>
            </w:tcBorders>
            <w:shd w:val="clear" w:color="auto" w:fill="auto"/>
            <w:hideMark/>
          </w:tcPr>
          <w:p w14:paraId="34731992" w14:textId="77777777" w:rsidR="001B5F36" w:rsidRPr="001B0B69" w:rsidRDefault="001B5F36" w:rsidP="004435CF">
            <w:pPr>
              <w:spacing w:line="240" w:lineRule="auto"/>
              <w:rPr>
                <w:rFonts w:ascii="Cambria Math" w:hAnsi="Cambria Math"/>
                <w:color w:val="002060"/>
                <w:sz w:val="22"/>
              </w:rPr>
            </w:pPr>
            <w:r w:rsidRPr="001B0B69">
              <w:rPr>
                <w:noProof/>
                <w:sz w:val="22"/>
              </w:rPr>
              <w:drawing>
                <wp:anchor distT="0" distB="0" distL="114300" distR="114300" simplePos="0" relativeHeight="251662336" behindDoc="0" locked="0" layoutInCell="1" allowOverlap="1" wp14:anchorId="60924011" wp14:editId="65B0BF43">
                  <wp:simplePos x="0" y="0"/>
                  <wp:positionH relativeFrom="column">
                    <wp:posOffset>-68580</wp:posOffset>
                  </wp:positionH>
                  <wp:positionV relativeFrom="paragraph">
                    <wp:posOffset>-16510</wp:posOffset>
                  </wp:positionV>
                  <wp:extent cx="899160" cy="357505"/>
                  <wp:effectExtent l="0" t="0" r="0" b="4445"/>
                  <wp:wrapNone/>
                  <wp:docPr id="5" name="Picture 10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9160" cy="357505"/>
                          </a:xfrm>
                          <a:prstGeom prst="rect">
                            <a:avLst/>
                          </a:prstGeom>
                          <a:noFill/>
                        </pic:spPr>
                      </pic:pic>
                    </a:graphicData>
                  </a:graphic>
                  <wp14:sizeRelH relativeFrom="page">
                    <wp14:pctWidth>0</wp14:pctWidth>
                  </wp14:sizeRelH>
                  <wp14:sizeRelV relativeFrom="page">
                    <wp14:pctHeight>0</wp14:pctHeight>
                  </wp14:sizeRelV>
                </wp:anchor>
              </w:drawing>
            </w:r>
          </w:p>
        </w:tc>
        <w:tc>
          <w:tcPr>
            <w:tcW w:w="4103" w:type="pct"/>
            <w:tcBorders>
              <w:top w:val="single" w:sz="18" w:space="0" w:color="002060"/>
              <w:bottom w:val="single" w:sz="18" w:space="0" w:color="002060"/>
            </w:tcBorders>
            <w:shd w:val="clear" w:color="auto" w:fill="auto"/>
            <w:hideMark/>
          </w:tcPr>
          <w:p w14:paraId="3EA8BDD2" w14:textId="77777777" w:rsidR="001B5F36" w:rsidRPr="001B0B69" w:rsidRDefault="001B5F36" w:rsidP="004435CF">
            <w:pPr>
              <w:spacing w:line="240" w:lineRule="auto"/>
              <w:ind w:left="-24"/>
              <w:cnfStyle w:val="000000100000" w:firstRow="0" w:lastRow="0" w:firstColumn="0" w:lastColumn="0" w:oddVBand="0" w:evenVBand="0" w:oddHBand="1" w:evenHBand="0" w:firstRowFirstColumn="0" w:firstRowLastColumn="0" w:lastRowFirstColumn="0" w:lastRowLastColumn="0"/>
              <w:rPr>
                <w:rFonts w:ascii="Cambria Math" w:hAnsi="Cambria Math"/>
                <w:i/>
                <w:iCs/>
                <w:color w:val="002060"/>
                <w:sz w:val="22"/>
              </w:rPr>
            </w:pPr>
            <w:r w:rsidRPr="001B0B69">
              <w:rPr>
                <w:i/>
                <w:iCs/>
                <w:color w:val="002060"/>
                <w:sz w:val="22"/>
              </w:rPr>
              <w:t>This work is licensed under a Creative Commons Attribution-ShareAlike 4.0 International</w:t>
            </w:r>
          </w:p>
        </w:tc>
      </w:tr>
    </w:tbl>
    <w:p w14:paraId="576E31E2" w14:textId="77777777" w:rsidR="004435CF" w:rsidRPr="001B0B69" w:rsidRDefault="004435CF" w:rsidP="004435CF">
      <w:pPr>
        <w:spacing w:line="240" w:lineRule="auto"/>
        <w:rPr>
          <w:rFonts w:cs="Times New Roman"/>
        </w:rPr>
      </w:pPr>
    </w:p>
    <w:p w14:paraId="397C9221" w14:textId="77777777" w:rsidR="004435CF" w:rsidRPr="001B0B69" w:rsidRDefault="004435CF" w:rsidP="004435CF">
      <w:pPr>
        <w:spacing w:line="240" w:lineRule="auto"/>
        <w:jc w:val="center"/>
        <w:rPr>
          <w:rFonts w:cs="Times New Roman"/>
          <w:b/>
          <w:bCs/>
          <w:color w:val="002060"/>
        </w:rPr>
      </w:pPr>
      <w:r w:rsidRPr="001B0B69">
        <w:rPr>
          <w:rFonts w:cs="Times New Roman"/>
          <w:b/>
          <w:bCs/>
          <w:color w:val="002060"/>
        </w:rPr>
        <w:t>INTRODUCTION</w:t>
      </w:r>
    </w:p>
    <w:p w14:paraId="59C9874F" w14:textId="77777777" w:rsidR="006B354F" w:rsidRPr="006B354F" w:rsidRDefault="006B354F" w:rsidP="006B354F">
      <w:pPr>
        <w:spacing w:line="276" w:lineRule="auto"/>
        <w:ind w:firstLine="709"/>
        <w:rPr>
          <w:rFonts w:eastAsia="Times New Roman" w:cs="Times New Roman"/>
          <w:color w:val="000000"/>
          <w:szCs w:val="24"/>
        </w:rPr>
      </w:pPr>
      <w:bookmarkStart w:id="0" w:name="_Toc192489323"/>
      <w:r w:rsidRPr="006B354F">
        <w:rPr>
          <w:rFonts w:eastAsia="Times New Roman" w:cs="Times New Roman"/>
          <w:color w:val="000000"/>
          <w:szCs w:val="24"/>
        </w:rPr>
        <w:t>Hospitals are an integral part of the healthcare system that provides various types of healthcare services for patients. Their role is very important in efforts to maintain and improve public health in order to achieve optimal health degrees. To realize this, quality human resources are needed. Along with the development of the health service business in the era of globalization, improving the quality and quantity of hospital services is a must. Therefore, an effective management system is needed in order to be able to mobilize all existing resources, so that it has a positive impact on the achievement of hospital performance (Pristyadi &amp; Santoso, 2019).</w:t>
      </w:r>
    </w:p>
    <w:p w14:paraId="2358D7DD"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 xml:space="preserve">The implementation of health services in hospitals has complex characteristics, involving organizations with various health workers from diverse disciplines. The development of medical science and technology is progressing rapidly, requiring health workers to continue to improve their competencies in order to provide quality services. Hospitals act as centers for disease healing and health recovery. This role reflects the responsibility that is part of the government's efforts to improve people's welfare (Usman et al., 2023). The success of an organization depends on the performance of individuals within it. Individual performance is often referred to as managerial performance, which reflects the contribution of the organization's members in various managerial activities. A manager is responsible for improving managerial performance by performing the main </w:t>
      </w:r>
      <w:r w:rsidRPr="006B354F">
        <w:rPr>
          <w:rFonts w:eastAsia="Times New Roman" w:cs="Times New Roman"/>
          <w:color w:val="000000"/>
          <w:szCs w:val="24"/>
        </w:rPr>
        <w:lastRenderedPageBreak/>
        <w:t>functions of management optimally. These functions include planning, organizing, leadership, and control.</w:t>
      </w:r>
    </w:p>
    <w:p w14:paraId="225DFDEC"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Managerial performance plays an important role as a benchmark for the company's success. Improving managerial performance that is carried out optimally will provide added value to operational effectiveness. A manager must understand the authority given in controlling operational activities as well as implementing a control system. The elements of control include the accountability center and the management control process related to the operation of the accountability center based on the available information. The application of accountability accounting is a necessity in production activities (Arifah &amp; Azizah, 2022). One of the managerial approaches used in the preparation of the government budget is participation in the preparation of the budget. This approach involves managers from various levels, ranging from top-level, middle, to lower-level managers, in the budgeting process (Amrul et al., 2021).</w:t>
      </w:r>
    </w:p>
    <w:p w14:paraId="0AE308E6"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Hospitals have broad authority and autonomy in managing resources to improve the quality of services. To achieve more optimal goals and objectives requires the right strategy. Environmental dynamics demand that hospitals transform into organizations with a variety of services. Effective management and proper planning are needed to grow and compete. The budget is one of the crucial elements in organizational planning (Nuraini Novitasari, 2022).</w:t>
      </w:r>
    </w:p>
    <w:p w14:paraId="42D921F1"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Managerial performance is influenced by participation in budgeting. Programs and activities in government organizations are well planned and used as guidelines in their implementation. Budget preparation is the first step in planning a work program. The budget acts as a planning and coordination tool that helps in achieving the goals that have been set. The budgeting process is technical because it involves financial aspects, figures, and estimates (Putra et al., 2022).</w:t>
      </w:r>
    </w:p>
    <w:p w14:paraId="1EF7F1D8"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Budget participation plays an important role in budgeting by giving the parties involved the authority to prepare and evaluate various alternatives and set budget objectives. Involvement in the process from formulating to approving the budget encourages each individual's responsibility for their duties, thereby improving performance to achieve the goals or targets that have been set. Performance is assessed based on the achievement of budget targets (Wulandari &amp; Riharjo, 2016).</w:t>
      </w:r>
    </w:p>
    <w:p w14:paraId="2905B666"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Budgeting becomes more effective by involving all managers in the company. The participation of subordinates in this process allows them to contribute by providing ideas that can later be realized, thus having a positive effect on managerial performance. Effective participation in improving managerial performance also requires support from various other factors, such as commitment, motivation, and good competence within the company (Christy et al., 2021).</w:t>
      </w:r>
    </w:p>
    <w:p w14:paraId="5B33331B"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Research conducted by Nuraini Novitasari (2022) at </w:t>
      </w:r>
      <w:r w:rsidRPr="006B354F">
        <w:rPr>
          <w:rFonts w:eastAsia="Times New Roman" w:cs="Times New Roman"/>
          <w:i/>
          <w:iCs/>
          <w:color w:val="000000"/>
          <w:szCs w:val="24"/>
        </w:rPr>
        <w:t>BLUD</w:t>
      </w:r>
      <w:r w:rsidRPr="006B354F">
        <w:rPr>
          <w:rFonts w:eastAsia="Times New Roman" w:cs="Times New Roman"/>
          <w:color w:val="000000"/>
          <w:szCs w:val="24"/>
        </w:rPr>
        <w:t xml:space="preserve"> Bangkinang Hospital stated that budget participation has a positive impact on managerial performance. The higher the level of participation in budgeting, the better the managerial performance, and vice versa. These results are in line with the research of Utariani et al. (2022), who also found that budget participation is proven to have a positive and significant influence on </w:t>
      </w:r>
      <w:r w:rsidRPr="006B354F">
        <w:rPr>
          <w:rFonts w:eastAsia="Times New Roman" w:cs="Times New Roman"/>
          <w:color w:val="000000"/>
          <w:szCs w:val="24"/>
        </w:rPr>
        <w:lastRenderedPageBreak/>
        <w:t>managerial performance. However, research conducted by Prastawa (2023) showed different results, where budget participation had a positive but not significant effect on managerial performance. This is due to the many opinions in the budgeting process, which actually add to the complexity of planning, especially when the available budget is limited.</w:t>
      </w:r>
    </w:p>
    <w:p w14:paraId="563C7AA8"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Competence and motivation have an important role in improving managerial performance. Participatory budget implementation not only functions as a planning and control tool but also as a means to increase motivation and ensure accountability for performance to the public. Based on the pre-research conducted, it was found that there was a problem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namely that not all managers were involved in the budgeting process. This condition has an impact on a decrease in employee motivation, which in turn also affects a decline in managerial performance.</w:t>
      </w:r>
    </w:p>
    <w:p w14:paraId="693A75CA"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According to Usman et al. (2023) and Badzaly (2021), motivation has a positive and significant effect on managerial performance. The higher the motivation level of a leader or manager, the better his or her performance will be. High motivation encourages individuals to work better in meeting needs and achieving preset goals. A leader or manager with high achievement motivation will be more aware of the responsibilities they carry, strive to improve competencies, and contribute to the achievement of organizational goals. However, the results of this study are different from the findings of Prastawa (2023), which states that although motivation has a positive effect on the managerial performance of village officials, this effect is not significant. This is due to the low level of appreciation or assessment from the community for the performance of village officials, so that the motivation they have is not enough to provide a significant boost in improving performance.</w:t>
      </w:r>
    </w:p>
    <w:p w14:paraId="02C5C2C5"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Another factor that drives managerial performance is competence, which includes skills, abilities, characteristics, and knowledge that support the achievement of organizational goals. Research conducted by Arifah &amp; Azizah (2022) shows that competence has a positive effect on managerial performance. Managers who have low competence tend to have difficulty in applying their ability to interact with subordinates and society, making them less effective in acting, convincing, and influencing others. Each company has standards in recruiting and hiring employees according to their respective fields. Therefore, individuals who want to join a job must have competencies that match the demands of the organization. Good competencies will contribute to improving managerial performance and support the achievement of overall organizational goals.</w:t>
      </w:r>
    </w:p>
    <w:p w14:paraId="77CDA0C2"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 xml:space="preserve">Research by Pangestuti et al. (2023) states that competence has no effect on managerial performance. This ineffectiveness is caused by the company's lack of effort in developing the skills, knowledge, attitudes, and behaviors necessary for managers to carry out their duties professionally, effectively, and efficiently. The results of this study are similar to Prastawa (2023), which states that motivation has a positive but not significant effect on the performance of village apparatus. This insignificance occurs due to the many opinions in the budgeting process, which leads to an increase in work </w:t>
      </w:r>
      <w:r w:rsidRPr="006B354F">
        <w:rPr>
          <w:rFonts w:eastAsia="Times New Roman" w:cs="Times New Roman"/>
          <w:color w:val="000000"/>
          <w:szCs w:val="24"/>
        </w:rPr>
        <w:lastRenderedPageBreak/>
        <w:t>programs in the village area. With a limited budget, the number of proposals in budget preparation is not always balanced with optimal performance improvements.</w:t>
      </w:r>
    </w:p>
    <w:p w14:paraId="269D1E3A"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i/>
          <w:iCs/>
          <w:color w:val="000000"/>
          <w:szCs w:val="24"/>
        </w:rPr>
        <w:t>Stewardship theory</w:t>
      </w:r>
      <w:r w:rsidRPr="006B354F">
        <w:rPr>
          <w:rFonts w:eastAsia="Times New Roman" w:cs="Times New Roman"/>
          <w:color w:val="000000"/>
          <w:szCs w:val="24"/>
        </w:rPr>
        <w:t> can explain the role of hospitals as public sector organizations that serve the community responsibly and trustworthily. This theory can also explain the managerial performance of the hospital by the way the manager of </w:t>
      </w:r>
      <w:r w:rsidRPr="006B354F">
        <w:rPr>
          <w:rFonts w:eastAsia="Times New Roman" w:cs="Times New Roman"/>
          <w:i/>
          <w:iCs/>
          <w:color w:val="000000"/>
          <w:szCs w:val="24"/>
        </w:rPr>
        <w:t>Datu Kandang Haji Hospital</w:t>
      </w:r>
      <w:r w:rsidRPr="006B354F">
        <w:rPr>
          <w:rFonts w:eastAsia="Times New Roman" w:cs="Times New Roman"/>
          <w:color w:val="000000"/>
          <w:szCs w:val="24"/>
        </w:rPr>
        <w:t> will act as a steward who serves the community responsibly and trustworthily. The manager of </w:t>
      </w:r>
      <w:r w:rsidRPr="006B354F">
        <w:rPr>
          <w:rFonts w:eastAsia="Times New Roman" w:cs="Times New Roman"/>
          <w:i/>
          <w:iCs/>
          <w:color w:val="000000"/>
          <w:szCs w:val="24"/>
        </w:rPr>
        <w:t>Datu Kandang Haji Hospital</w:t>
      </w:r>
      <w:r w:rsidRPr="006B354F">
        <w:rPr>
          <w:rFonts w:eastAsia="Times New Roman" w:cs="Times New Roman"/>
          <w:color w:val="000000"/>
          <w:szCs w:val="24"/>
        </w:rPr>
        <w:t> will focus on the main goal, namely the interests of the organization. </w:t>
      </w:r>
      <w:r w:rsidRPr="006B354F">
        <w:rPr>
          <w:rFonts w:eastAsia="Times New Roman" w:cs="Times New Roman"/>
          <w:i/>
          <w:iCs/>
          <w:color w:val="000000"/>
          <w:szCs w:val="24"/>
        </w:rPr>
        <w:t>Datu Kandang Haji Hospital</w:t>
      </w:r>
      <w:r w:rsidRPr="006B354F">
        <w:rPr>
          <w:rFonts w:eastAsia="Times New Roman" w:cs="Times New Roman"/>
          <w:color w:val="000000"/>
          <w:szCs w:val="24"/>
        </w:rPr>
        <w:t> is a hospital in the form of </w:t>
      </w:r>
      <w:r w:rsidRPr="006B354F">
        <w:rPr>
          <w:rFonts w:eastAsia="Times New Roman" w:cs="Times New Roman"/>
          <w:i/>
          <w:iCs/>
          <w:color w:val="000000"/>
          <w:szCs w:val="24"/>
        </w:rPr>
        <w:t>BLUD</w:t>
      </w:r>
      <w:r w:rsidRPr="006B354F">
        <w:rPr>
          <w:rFonts w:eastAsia="Times New Roman" w:cs="Times New Roman"/>
          <w:color w:val="000000"/>
          <w:szCs w:val="24"/>
        </w:rPr>
        <w:t> (</w:t>
      </w:r>
      <w:r w:rsidRPr="006B354F">
        <w:rPr>
          <w:rFonts w:eastAsia="Times New Roman" w:cs="Times New Roman"/>
          <w:i/>
          <w:iCs/>
          <w:color w:val="000000"/>
          <w:szCs w:val="24"/>
        </w:rPr>
        <w:t>Regional Public Service Agency</w:t>
      </w:r>
      <w:r w:rsidRPr="006B354F">
        <w:rPr>
          <w:rFonts w:eastAsia="Times New Roman" w:cs="Times New Roman"/>
          <w:color w:val="000000"/>
          <w:szCs w:val="24"/>
        </w:rPr>
        <w:t>) which was previously named Balangan Regional General Hospital. It is one of the type C regional hospitals with plenary accreditation and the only regional hospital in Balangan Regency. The increasing public demand for health services in hospitals requires strategic planning efforts that can be implemented. Performance evaluation based on previous years' goals and targets is an indicator of success in achieving the mission that has been set.</w:t>
      </w:r>
    </w:p>
    <w:p w14:paraId="749D6944"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i/>
          <w:iCs/>
          <w:color w:val="000000"/>
          <w:szCs w:val="24"/>
        </w:rPr>
        <w:t>Datu Kandang Haji Hospital</w:t>
      </w:r>
      <w:r w:rsidRPr="006B354F">
        <w:rPr>
          <w:rFonts w:eastAsia="Times New Roman" w:cs="Times New Roman"/>
          <w:color w:val="000000"/>
          <w:szCs w:val="24"/>
        </w:rPr>
        <w:t> conducts the budget preparation stage with a bottom-up system, which means a budget planning method where proposals and planning start from work units or departments at the lower level, then compile to a higher level of management. This approach allows each part of the organization to contribute to determining budget needs and allocations based on real conditions on the ground. Although there are no specific guidelines in the preparation of the budget, </w:t>
      </w:r>
      <w:r w:rsidRPr="006B354F">
        <w:rPr>
          <w:rFonts w:eastAsia="Times New Roman" w:cs="Times New Roman"/>
          <w:i/>
          <w:iCs/>
          <w:color w:val="000000"/>
          <w:szCs w:val="24"/>
        </w:rPr>
        <w:t>Datu Kandang Haji Hospital</w:t>
      </w:r>
      <w:r w:rsidRPr="006B354F">
        <w:rPr>
          <w:rFonts w:eastAsia="Times New Roman" w:cs="Times New Roman"/>
          <w:color w:val="000000"/>
          <w:szCs w:val="24"/>
        </w:rPr>
        <w:t> uses existing guidelines. The phenomenon that occurs is that managers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are not always involved in the preparation of the budget. As a result, various negative impacts arise; some budget planning is not fixed on target or is not in accordance with user demand. Work units that are not involved in budget planning tend to be less motivated to run the budget. Decisions and budget allocations are determined by top-level management or organizational leadership, then given to the units below them to be implemented.</w:t>
      </w:r>
    </w:p>
    <w:p w14:paraId="55DC3982"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The success of the hospital in carrying out its functions is reflected in the optimal quality of service. The quality of hospital services is influenced by various factors, with human resources as the most dominant aspect. The </w:t>
      </w:r>
      <w:r w:rsidRPr="006B354F">
        <w:rPr>
          <w:rFonts w:eastAsia="Times New Roman" w:cs="Times New Roman"/>
          <w:i/>
          <w:iCs/>
          <w:color w:val="000000"/>
          <w:szCs w:val="24"/>
        </w:rPr>
        <w:t>Minimum Service Standard</w:t>
      </w:r>
      <w:r w:rsidRPr="006B354F">
        <w:rPr>
          <w:rFonts w:eastAsia="Times New Roman" w:cs="Times New Roman"/>
          <w:color w:val="000000"/>
          <w:szCs w:val="24"/>
        </w:rPr>
        <w:t> (</w:t>
      </w:r>
      <w:r w:rsidRPr="006B354F">
        <w:rPr>
          <w:rFonts w:eastAsia="Times New Roman" w:cs="Times New Roman"/>
          <w:i/>
          <w:iCs/>
          <w:color w:val="000000"/>
          <w:szCs w:val="24"/>
        </w:rPr>
        <w:t>SPM</w:t>
      </w:r>
      <w:r w:rsidRPr="006B354F">
        <w:rPr>
          <w:rFonts w:eastAsia="Times New Roman" w:cs="Times New Roman"/>
          <w:color w:val="000000"/>
          <w:szCs w:val="24"/>
        </w:rPr>
        <w:t>) acts as a technical specification that is used as a benchmark for the minimum services that </w:t>
      </w:r>
      <w:r w:rsidRPr="006B354F">
        <w:rPr>
          <w:rFonts w:eastAsia="Times New Roman" w:cs="Times New Roman"/>
          <w:i/>
          <w:iCs/>
          <w:color w:val="000000"/>
          <w:szCs w:val="24"/>
        </w:rPr>
        <w:t>BLUD</w:t>
      </w:r>
      <w:r w:rsidRPr="006B354F">
        <w:rPr>
          <w:rFonts w:eastAsia="Times New Roman" w:cs="Times New Roman"/>
          <w:color w:val="000000"/>
          <w:szCs w:val="24"/>
        </w:rPr>
        <w:t> must provide to the community. The implementation of </w:t>
      </w:r>
      <w:r w:rsidRPr="006B354F">
        <w:rPr>
          <w:rFonts w:eastAsia="Times New Roman" w:cs="Times New Roman"/>
          <w:i/>
          <w:iCs/>
          <w:color w:val="000000"/>
          <w:szCs w:val="24"/>
        </w:rPr>
        <w:t>SPM</w:t>
      </w:r>
      <w:r w:rsidRPr="006B354F">
        <w:rPr>
          <w:rFonts w:eastAsia="Times New Roman" w:cs="Times New Roman"/>
          <w:color w:val="000000"/>
          <w:szCs w:val="24"/>
        </w:rPr>
        <w:t> must ensure public access to hospital services in accordance with the standards set by the local government. The principles of </w:t>
      </w:r>
      <w:r w:rsidRPr="006B354F">
        <w:rPr>
          <w:rFonts w:eastAsia="Times New Roman" w:cs="Times New Roman"/>
          <w:i/>
          <w:iCs/>
          <w:color w:val="000000"/>
          <w:szCs w:val="24"/>
        </w:rPr>
        <w:t>SPM</w:t>
      </w:r>
      <w:r w:rsidRPr="006B354F">
        <w:rPr>
          <w:rFonts w:eastAsia="Times New Roman" w:cs="Times New Roman"/>
          <w:color w:val="000000"/>
          <w:szCs w:val="24"/>
        </w:rPr>
        <w:t> in planning and budgeting include simple, concrete, easy to measure, open, affordable, accountable, and having a deadline for achievement. The main challenge in fulfilling the requirements for hospitals to become a </w:t>
      </w:r>
      <w:r w:rsidRPr="006B354F">
        <w:rPr>
          <w:rFonts w:eastAsia="Times New Roman" w:cs="Times New Roman"/>
          <w:i/>
          <w:iCs/>
          <w:color w:val="000000"/>
          <w:szCs w:val="24"/>
        </w:rPr>
        <w:t>BLU</w:t>
      </w:r>
      <w:r w:rsidRPr="006B354F">
        <w:rPr>
          <w:rFonts w:eastAsia="Times New Roman" w:cs="Times New Roman"/>
          <w:color w:val="000000"/>
          <w:szCs w:val="24"/>
        </w:rPr>
        <w:t> lies in the </w:t>
      </w:r>
      <w:r w:rsidRPr="006B354F">
        <w:rPr>
          <w:rFonts w:eastAsia="Times New Roman" w:cs="Times New Roman"/>
          <w:i/>
          <w:iCs/>
          <w:color w:val="000000"/>
          <w:szCs w:val="24"/>
        </w:rPr>
        <w:t>Minimum Service Standards</w:t>
      </w:r>
      <w:r w:rsidRPr="006B354F">
        <w:rPr>
          <w:rFonts w:eastAsia="Times New Roman" w:cs="Times New Roman"/>
          <w:color w:val="000000"/>
          <w:szCs w:val="24"/>
        </w:rPr>
        <w:t> (</w:t>
      </w:r>
      <w:r w:rsidRPr="006B354F">
        <w:rPr>
          <w:rFonts w:eastAsia="Times New Roman" w:cs="Times New Roman"/>
          <w:i/>
          <w:iCs/>
          <w:color w:val="000000"/>
          <w:szCs w:val="24"/>
        </w:rPr>
        <w:t>SPM</w:t>
      </w:r>
      <w:r w:rsidRPr="006B354F">
        <w:rPr>
          <w:rFonts w:eastAsia="Times New Roman" w:cs="Times New Roman"/>
          <w:color w:val="000000"/>
          <w:szCs w:val="24"/>
        </w:rPr>
        <w:t>). Various references in the preparation of </w:t>
      </w:r>
      <w:r w:rsidRPr="006B354F">
        <w:rPr>
          <w:rFonts w:eastAsia="Times New Roman" w:cs="Times New Roman"/>
          <w:i/>
          <w:iCs/>
          <w:color w:val="000000"/>
          <w:szCs w:val="24"/>
        </w:rPr>
        <w:t>SPM</w:t>
      </w:r>
      <w:r w:rsidRPr="006B354F">
        <w:rPr>
          <w:rFonts w:eastAsia="Times New Roman" w:cs="Times New Roman"/>
          <w:color w:val="000000"/>
          <w:szCs w:val="24"/>
        </w:rPr>
        <w:t>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include Government Regulation Number 2 of 2018 concerning </w:t>
      </w:r>
      <w:r w:rsidRPr="006B354F">
        <w:rPr>
          <w:rFonts w:eastAsia="Times New Roman" w:cs="Times New Roman"/>
          <w:i/>
          <w:iCs/>
          <w:color w:val="000000"/>
          <w:szCs w:val="24"/>
        </w:rPr>
        <w:t>Minimum Service Standards</w:t>
      </w:r>
      <w:r w:rsidRPr="006B354F">
        <w:rPr>
          <w:rFonts w:eastAsia="Times New Roman" w:cs="Times New Roman"/>
          <w:color w:val="000000"/>
          <w:szCs w:val="24"/>
        </w:rPr>
        <w:t> and Government Regulation Number 47 of 2021 concerning the Implementation of the Hospital Sector regulating various aspects of health services. This regulation covers standards for the implementation of hospital management, medical services, supporting services, and nursing services.</w:t>
      </w:r>
    </w:p>
    <w:p w14:paraId="7C9707F7" w14:textId="5BBF1D79"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lastRenderedPageBreak/>
        <w:t>Based on the results of the assessment of the </w:t>
      </w:r>
      <w:r w:rsidRPr="006B354F">
        <w:rPr>
          <w:rFonts w:eastAsia="Times New Roman" w:cs="Times New Roman"/>
          <w:i/>
          <w:iCs/>
          <w:color w:val="000000"/>
          <w:szCs w:val="24"/>
        </w:rPr>
        <w:t>Minimum Service Standards</w:t>
      </w:r>
      <w:r w:rsidRPr="006B354F">
        <w:rPr>
          <w:rFonts w:eastAsia="Times New Roman" w:cs="Times New Roman"/>
          <w:color w:val="000000"/>
          <w:szCs w:val="24"/>
        </w:rPr>
        <w:t> (</w:t>
      </w:r>
      <w:r w:rsidRPr="006B354F">
        <w:rPr>
          <w:rFonts w:eastAsia="Times New Roman" w:cs="Times New Roman"/>
          <w:i/>
          <w:iCs/>
          <w:color w:val="000000"/>
          <w:szCs w:val="24"/>
        </w:rPr>
        <w:t>SPM</w:t>
      </w:r>
      <w:r w:rsidRPr="006B354F">
        <w:rPr>
          <w:rFonts w:eastAsia="Times New Roman" w:cs="Times New Roman"/>
          <w:color w:val="000000"/>
          <w:szCs w:val="24"/>
        </w:rPr>
        <w:t>) of </w:t>
      </w:r>
      <w:r w:rsidRPr="006B354F">
        <w:rPr>
          <w:rFonts w:eastAsia="Times New Roman" w:cs="Times New Roman"/>
          <w:i/>
          <w:iCs/>
          <w:color w:val="000000"/>
          <w:szCs w:val="24"/>
        </w:rPr>
        <w:t>Datu Kandang Haji Hospital</w:t>
      </w:r>
      <w:r w:rsidRPr="006B354F">
        <w:rPr>
          <w:rFonts w:eastAsia="Times New Roman" w:cs="Times New Roman"/>
          <w:color w:val="000000"/>
          <w:szCs w:val="24"/>
        </w:rPr>
        <w:t> in 2023, the elements of service related to employees that are problematic include officer discipline, politeness and friendliness in serving, and accuracy in service implementation</w:t>
      </w:r>
      <w:r w:rsidR="006D1B22">
        <w:rPr>
          <w:rFonts w:eastAsia="Times New Roman" w:cs="Times New Roman"/>
          <w:color w:val="000000"/>
          <w:szCs w:val="24"/>
        </w:rPr>
        <w:t xml:space="preserve"> (</w:t>
      </w:r>
      <w:r w:rsidR="006D1B22" w:rsidRPr="00222C11">
        <w:rPr>
          <w:color w:val="000000" w:themeColor="text1"/>
          <w:szCs w:val="24"/>
          <w:lang w:val="en-ID"/>
        </w:rPr>
        <w:t>Resi,</w:t>
      </w:r>
      <w:r w:rsidR="006D1B22">
        <w:rPr>
          <w:color w:val="000000" w:themeColor="text1"/>
          <w:szCs w:val="24"/>
          <w:lang w:val="en-ID"/>
        </w:rPr>
        <w:t xml:space="preserve"> </w:t>
      </w:r>
      <w:r w:rsidR="006D1B22" w:rsidRPr="00222C11">
        <w:rPr>
          <w:color w:val="000000" w:themeColor="text1"/>
          <w:szCs w:val="24"/>
          <w:lang w:val="en-ID"/>
        </w:rPr>
        <w:t>2021).</w:t>
      </w:r>
    </w:p>
    <w:p w14:paraId="6E7B29A2" w14:textId="77777777" w:rsidR="006E796F" w:rsidRPr="001B0B69" w:rsidRDefault="006E796F" w:rsidP="006E796F">
      <w:pPr>
        <w:spacing w:line="276" w:lineRule="auto"/>
        <w:jc w:val="center"/>
        <w:rPr>
          <w:rFonts w:eastAsia="Times New Roman" w:cs="Times New Roman"/>
          <w:color w:val="000000"/>
          <w:szCs w:val="24"/>
        </w:rPr>
      </w:pPr>
    </w:p>
    <w:p w14:paraId="01AF12FC" w14:textId="51882187" w:rsidR="00EE1888" w:rsidRPr="001B0B69" w:rsidRDefault="008551FA" w:rsidP="006E796F">
      <w:pPr>
        <w:spacing w:line="276" w:lineRule="auto"/>
        <w:jc w:val="center"/>
        <w:rPr>
          <w:rFonts w:eastAsia="Times New Roman" w:cs="Times New Roman"/>
          <w:color w:val="000000"/>
          <w:szCs w:val="24"/>
        </w:rPr>
      </w:pPr>
      <w:r w:rsidRPr="001B0B69">
        <w:rPr>
          <w:rFonts w:eastAsia="Times New Roman" w:cs="Times New Roman"/>
          <w:color w:val="000000"/>
          <w:szCs w:val="24"/>
        </w:rPr>
        <w:t>Table 1. Realization of the Implementation and Achievement of SPM (Minimum Service Standards) of Datu Kandang Haji Hospital in 2023</w:t>
      </w:r>
    </w:p>
    <w:tbl>
      <w:tblPr>
        <w:tblW w:w="9776"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30"/>
        <w:gridCol w:w="2157"/>
        <w:gridCol w:w="992"/>
        <w:gridCol w:w="1134"/>
        <w:gridCol w:w="1412"/>
        <w:gridCol w:w="2551"/>
      </w:tblGrid>
      <w:tr w:rsidR="008551FA" w:rsidRPr="001B0B69" w14:paraId="4A1673E3" w14:textId="77777777" w:rsidTr="001B5F36">
        <w:trPr>
          <w:trHeight w:val="273"/>
          <w:jc w:val="center"/>
        </w:trPr>
        <w:tc>
          <w:tcPr>
            <w:tcW w:w="1530" w:type="dxa"/>
            <w:vAlign w:val="center"/>
            <w:hideMark/>
          </w:tcPr>
          <w:p w14:paraId="7CFE3EA6" w14:textId="77777777" w:rsidR="008551FA" w:rsidRPr="001B0B69" w:rsidRDefault="008551FA" w:rsidP="008551FA">
            <w:pPr>
              <w:pStyle w:val="BodyText"/>
              <w:jc w:val="center"/>
              <w:rPr>
                <w:b/>
                <w:bCs/>
                <w:sz w:val="22"/>
                <w:szCs w:val="22"/>
                <w:lang w:val="en-US"/>
              </w:rPr>
            </w:pPr>
            <w:r w:rsidRPr="001B0B69">
              <w:rPr>
                <w:b/>
                <w:bCs/>
                <w:sz w:val="22"/>
                <w:szCs w:val="22"/>
                <w:lang w:val="en-US"/>
              </w:rPr>
              <w:t>Room</w:t>
            </w:r>
          </w:p>
          <w:p w14:paraId="40B65FB0" w14:textId="77777777" w:rsidR="008551FA" w:rsidRPr="001B0B69" w:rsidRDefault="008551FA" w:rsidP="008551FA">
            <w:pPr>
              <w:pStyle w:val="BodyText"/>
              <w:jc w:val="center"/>
              <w:rPr>
                <w:b/>
                <w:bCs/>
                <w:sz w:val="22"/>
                <w:szCs w:val="22"/>
                <w:lang w:val="en-US"/>
              </w:rPr>
            </w:pPr>
          </w:p>
        </w:tc>
        <w:tc>
          <w:tcPr>
            <w:tcW w:w="2157" w:type="dxa"/>
            <w:vAlign w:val="center"/>
            <w:hideMark/>
          </w:tcPr>
          <w:p w14:paraId="2F81C6AB" w14:textId="77777777" w:rsidR="008551FA" w:rsidRPr="001B0B69" w:rsidRDefault="008551FA" w:rsidP="008551FA">
            <w:pPr>
              <w:pStyle w:val="BodyText"/>
              <w:jc w:val="center"/>
              <w:rPr>
                <w:b/>
                <w:bCs/>
                <w:sz w:val="22"/>
                <w:szCs w:val="22"/>
                <w:lang w:val="en-US"/>
              </w:rPr>
            </w:pPr>
            <w:r w:rsidRPr="001B0B69">
              <w:rPr>
                <w:b/>
                <w:bCs/>
                <w:sz w:val="22"/>
                <w:szCs w:val="22"/>
                <w:lang w:val="en-US"/>
              </w:rPr>
              <w:t>Indicator</w:t>
            </w:r>
          </w:p>
        </w:tc>
        <w:tc>
          <w:tcPr>
            <w:tcW w:w="992" w:type="dxa"/>
            <w:vAlign w:val="center"/>
            <w:hideMark/>
          </w:tcPr>
          <w:p w14:paraId="20AF5EE5" w14:textId="77777777" w:rsidR="008551FA" w:rsidRPr="001B0B69" w:rsidRDefault="008551FA" w:rsidP="008551FA">
            <w:pPr>
              <w:pStyle w:val="BodyText"/>
              <w:jc w:val="center"/>
              <w:rPr>
                <w:b/>
                <w:bCs/>
                <w:sz w:val="22"/>
                <w:szCs w:val="22"/>
                <w:lang w:val="en-US"/>
              </w:rPr>
            </w:pPr>
            <w:r w:rsidRPr="001B0B69">
              <w:rPr>
                <w:b/>
                <w:bCs/>
                <w:sz w:val="22"/>
                <w:szCs w:val="22"/>
                <w:lang w:val="en-US"/>
              </w:rPr>
              <w:t>Target</w:t>
            </w:r>
          </w:p>
        </w:tc>
        <w:tc>
          <w:tcPr>
            <w:tcW w:w="1134" w:type="dxa"/>
            <w:vAlign w:val="center"/>
            <w:hideMark/>
          </w:tcPr>
          <w:p w14:paraId="02D849B1" w14:textId="77777777" w:rsidR="008551FA" w:rsidRPr="001B0B69" w:rsidRDefault="008551FA" w:rsidP="008551FA">
            <w:pPr>
              <w:pStyle w:val="BodyText"/>
              <w:jc w:val="center"/>
              <w:rPr>
                <w:b/>
                <w:bCs/>
                <w:sz w:val="22"/>
                <w:szCs w:val="22"/>
                <w:lang w:val="en-US"/>
              </w:rPr>
            </w:pPr>
            <w:r w:rsidRPr="001B0B69">
              <w:rPr>
                <w:b/>
                <w:bCs/>
                <w:sz w:val="22"/>
                <w:szCs w:val="22"/>
                <w:lang w:val="en-US"/>
              </w:rPr>
              <w:t>Realization</w:t>
            </w:r>
          </w:p>
        </w:tc>
        <w:tc>
          <w:tcPr>
            <w:tcW w:w="1412" w:type="dxa"/>
            <w:vAlign w:val="center"/>
            <w:hideMark/>
          </w:tcPr>
          <w:p w14:paraId="3E8FBE41" w14:textId="77777777" w:rsidR="008551FA" w:rsidRPr="001B0B69" w:rsidRDefault="008551FA" w:rsidP="008551FA">
            <w:pPr>
              <w:pStyle w:val="BodyText"/>
              <w:jc w:val="center"/>
              <w:rPr>
                <w:b/>
                <w:bCs/>
                <w:sz w:val="22"/>
                <w:szCs w:val="22"/>
                <w:lang w:val="en-US"/>
              </w:rPr>
            </w:pPr>
            <w:r w:rsidRPr="001B0B69">
              <w:rPr>
                <w:b/>
                <w:bCs/>
                <w:sz w:val="22"/>
                <w:szCs w:val="22"/>
                <w:lang w:val="en-US"/>
              </w:rPr>
              <w:t>Achievements</w:t>
            </w:r>
          </w:p>
        </w:tc>
        <w:tc>
          <w:tcPr>
            <w:tcW w:w="2551" w:type="dxa"/>
            <w:vAlign w:val="center"/>
            <w:hideMark/>
          </w:tcPr>
          <w:p w14:paraId="2B828AE0" w14:textId="77777777" w:rsidR="008551FA" w:rsidRPr="001B0B69" w:rsidRDefault="008551FA" w:rsidP="008551FA">
            <w:pPr>
              <w:pStyle w:val="BodyText"/>
              <w:jc w:val="center"/>
              <w:rPr>
                <w:b/>
                <w:bCs/>
                <w:sz w:val="22"/>
                <w:szCs w:val="22"/>
                <w:lang w:val="en-US"/>
              </w:rPr>
            </w:pPr>
            <w:r w:rsidRPr="001B0B69">
              <w:rPr>
                <w:b/>
                <w:bCs/>
                <w:sz w:val="22"/>
                <w:szCs w:val="22"/>
                <w:lang w:val="en-US"/>
              </w:rPr>
              <w:t>Information</w:t>
            </w:r>
          </w:p>
        </w:tc>
      </w:tr>
      <w:tr w:rsidR="008551FA" w:rsidRPr="001B0B69" w14:paraId="39C40C51" w14:textId="77777777" w:rsidTr="001B5F36">
        <w:trPr>
          <w:trHeight w:val="54"/>
          <w:jc w:val="center"/>
        </w:trPr>
        <w:tc>
          <w:tcPr>
            <w:tcW w:w="1530" w:type="dxa"/>
            <w:hideMark/>
          </w:tcPr>
          <w:p w14:paraId="5A68B45D" w14:textId="77777777" w:rsidR="008551FA" w:rsidRPr="001B0B69" w:rsidRDefault="008551FA" w:rsidP="008551FA">
            <w:pPr>
              <w:pStyle w:val="BodyText"/>
              <w:jc w:val="center"/>
              <w:rPr>
                <w:sz w:val="22"/>
                <w:szCs w:val="22"/>
                <w:lang w:val="en-US"/>
              </w:rPr>
            </w:pPr>
            <w:r w:rsidRPr="001B0B69">
              <w:rPr>
                <w:sz w:val="22"/>
                <w:szCs w:val="22"/>
                <w:lang w:val="en-US"/>
              </w:rPr>
              <w:t>Administration and Management Services</w:t>
            </w:r>
          </w:p>
        </w:tc>
        <w:tc>
          <w:tcPr>
            <w:tcW w:w="2157" w:type="dxa"/>
            <w:hideMark/>
          </w:tcPr>
          <w:p w14:paraId="7DDC3903" w14:textId="77777777" w:rsidR="008551FA" w:rsidRPr="001B0B69" w:rsidRDefault="008551FA" w:rsidP="008551FA">
            <w:pPr>
              <w:pStyle w:val="BodyText"/>
              <w:jc w:val="center"/>
              <w:rPr>
                <w:sz w:val="22"/>
                <w:szCs w:val="22"/>
                <w:lang w:val="en-US"/>
              </w:rPr>
            </w:pPr>
            <w:r w:rsidRPr="001B0B69">
              <w:rPr>
                <w:sz w:val="22"/>
                <w:szCs w:val="22"/>
                <w:lang w:val="en-US"/>
              </w:rPr>
              <w:t>Employees who receive a minimum of 20 hours of training per year</w:t>
            </w:r>
          </w:p>
        </w:tc>
        <w:tc>
          <w:tcPr>
            <w:tcW w:w="992" w:type="dxa"/>
            <w:hideMark/>
          </w:tcPr>
          <w:p w14:paraId="04841125" w14:textId="77777777" w:rsidR="008551FA" w:rsidRPr="001B0B69" w:rsidRDefault="008551FA" w:rsidP="008551FA">
            <w:pPr>
              <w:pStyle w:val="BodyText"/>
              <w:jc w:val="center"/>
              <w:rPr>
                <w:sz w:val="22"/>
                <w:szCs w:val="22"/>
                <w:lang w:val="en-US"/>
              </w:rPr>
            </w:pPr>
            <w:r w:rsidRPr="001B0B69">
              <w:rPr>
                <w:sz w:val="22"/>
                <w:szCs w:val="22"/>
                <w:lang w:val="en-US"/>
              </w:rPr>
              <w:t>≥ 60%</w:t>
            </w:r>
          </w:p>
        </w:tc>
        <w:tc>
          <w:tcPr>
            <w:tcW w:w="1134" w:type="dxa"/>
            <w:hideMark/>
          </w:tcPr>
          <w:p w14:paraId="59925F07" w14:textId="77777777" w:rsidR="008551FA" w:rsidRPr="001B0B69" w:rsidRDefault="008551FA" w:rsidP="008551FA">
            <w:pPr>
              <w:pStyle w:val="BodyText"/>
              <w:jc w:val="center"/>
              <w:rPr>
                <w:sz w:val="22"/>
                <w:szCs w:val="22"/>
                <w:lang w:val="en-US"/>
              </w:rPr>
            </w:pPr>
            <w:r w:rsidRPr="001B0B69">
              <w:rPr>
                <w:sz w:val="22"/>
                <w:szCs w:val="22"/>
                <w:lang w:val="en-US"/>
              </w:rPr>
              <w:t>30%</w:t>
            </w:r>
          </w:p>
        </w:tc>
        <w:tc>
          <w:tcPr>
            <w:tcW w:w="1412" w:type="dxa"/>
            <w:hideMark/>
          </w:tcPr>
          <w:p w14:paraId="5F547E49" w14:textId="77777777" w:rsidR="008551FA" w:rsidRPr="001B0B69" w:rsidRDefault="008551FA" w:rsidP="008551FA">
            <w:pPr>
              <w:pStyle w:val="BodyText"/>
              <w:jc w:val="center"/>
              <w:rPr>
                <w:sz w:val="22"/>
                <w:szCs w:val="22"/>
                <w:lang w:val="en-US"/>
              </w:rPr>
            </w:pPr>
            <w:r w:rsidRPr="001B0B69">
              <w:rPr>
                <w:sz w:val="22"/>
                <w:szCs w:val="22"/>
                <w:lang w:val="en-US"/>
              </w:rPr>
              <w:t>Not Achieved</w:t>
            </w:r>
          </w:p>
        </w:tc>
        <w:tc>
          <w:tcPr>
            <w:tcW w:w="2551" w:type="dxa"/>
            <w:hideMark/>
          </w:tcPr>
          <w:p w14:paraId="477DA231" w14:textId="77777777" w:rsidR="008551FA" w:rsidRPr="001B0B69" w:rsidRDefault="008551FA" w:rsidP="008551FA">
            <w:pPr>
              <w:pStyle w:val="BodyText"/>
              <w:jc w:val="center"/>
              <w:rPr>
                <w:sz w:val="22"/>
                <w:szCs w:val="22"/>
                <w:lang w:val="en-US"/>
              </w:rPr>
            </w:pPr>
            <w:r w:rsidRPr="001B0B69">
              <w:rPr>
                <w:sz w:val="22"/>
                <w:szCs w:val="22"/>
                <w:lang w:val="en-US"/>
              </w:rPr>
              <w:t>Budget constraints for training at Datu Kandang Haji Hospital</w:t>
            </w:r>
          </w:p>
        </w:tc>
      </w:tr>
    </w:tbl>
    <w:p w14:paraId="4C2563E2" w14:textId="77777777" w:rsidR="008551FA" w:rsidRPr="001B0B69" w:rsidRDefault="008551FA" w:rsidP="006E796F">
      <w:pPr>
        <w:spacing w:line="276" w:lineRule="auto"/>
        <w:rPr>
          <w:rFonts w:eastAsia="Times New Roman" w:cs="Times New Roman"/>
          <w:color w:val="000000"/>
          <w:szCs w:val="24"/>
        </w:rPr>
      </w:pPr>
      <w:r w:rsidRPr="001B0B69">
        <w:rPr>
          <w:rFonts w:eastAsia="Times New Roman" w:cs="Times New Roman"/>
          <w:color w:val="000000"/>
          <w:szCs w:val="24"/>
        </w:rPr>
        <w:t>Source: SPM (Minimum Service Standard) of Datu Kandang Haji Hospital Period, 2023</w:t>
      </w:r>
    </w:p>
    <w:p w14:paraId="58BEEBF7" w14:textId="77777777" w:rsidR="006B354F" w:rsidRPr="001B0B69" w:rsidRDefault="006B354F" w:rsidP="008551FA">
      <w:pPr>
        <w:spacing w:line="276" w:lineRule="auto"/>
        <w:ind w:firstLine="709"/>
        <w:rPr>
          <w:rFonts w:eastAsia="Times New Roman" w:cs="Times New Roman"/>
          <w:color w:val="000000"/>
          <w:szCs w:val="24"/>
        </w:rPr>
      </w:pPr>
    </w:p>
    <w:p w14:paraId="728FC758"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Based on Table 1, it can be seen that some of the causes of the non-achievement of public satisfaction indicators are employees who have not received training according to their competencies. Patients or visitors complain frequently about incompetent employees. The training program that should have been prepared has not been implemented optimally. According to the Regulation of the Ministry of Health of the Republic of Indonesia No. 129/Menkes/SK/II/2008 concerning Hospital </w:t>
      </w:r>
      <w:r w:rsidRPr="006B354F">
        <w:rPr>
          <w:rFonts w:eastAsia="Times New Roman" w:cs="Times New Roman"/>
          <w:i/>
          <w:iCs/>
          <w:color w:val="000000"/>
          <w:szCs w:val="24"/>
        </w:rPr>
        <w:t>Minimum Service Standards</w:t>
      </w:r>
      <w:r w:rsidRPr="006B354F">
        <w:rPr>
          <w:rFonts w:eastAsia="Times New Roman" w:cs="Times New Roman"/>
          <w:color w:val="000000"/>
          <w:szCs w:val="24"/>
        </w:rPr>
        <w:t> (</w:t>
      </w:r>
      <w:r w:rsidRPr="006B354F">
        <w:rPr>
          <w:rFonts w:eastAsia="Times New Roman" w:cs="Times New Roman"/>
          <w:i/>
          <w:iCs/>
          <w:color w:val="000000"/>
          <w:szCs w:val="24"/>
        </w:rPr>
        <w:t>SPM Hospitals</w:t>
      </w:r>
      <w:r w:rsidRPr="006B354F">
        <w:rPr>
          <w:rFonts w:eastAsia="Times New Roman" w:cs="Times New Roman"/>
          <w:color w:val="000000"/>
          <w:szCs w:val="24"/>
        </w:rPr>
        <w:t>), standards are set for various types of services that must be met by administrative and management hospitals, with the indicator that employees who receive at least 20 hours of training per year have a standard value of ≥ 60%. It can be seen from Table 1.1 that the training target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will only be achieved by 30% in 2023. This shows that the percentage of achievement is below the standard value that has been determined nationally, which is ≥ 60%.</w:t>
      </w:r>
    </w:p>
    <w:p w14:paraId="10DF7568"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Some of the reasons for the failure to achieve this target are due to limited budgets for training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The budget for training in 2023 is IDR 474,750,000, and the realized amount is IDR 472,798,063. The official travel budget for 2023 is IDR 1,852,500,000 and has been realized at IDR 1,825,515,005. Limited budgets are caused by several factors: first, it can be because when a manager or employee wants to apply for training, the budget has run out before the end of the year; second, it can be because the budget for training or </w:t>
      </w:r>
      <w:r w:rsidRPr="006B354F">
        <w:rPr>
          <w:rFonts w:eastAsia="Times New Roman" w:cs="Times New Roman"/>
          <w:i/>
          <w:iCs/>
          <w:color w:val="000000"/>
          <w:szCs w:val="24"/>
        </w:rPr>
        <w:t>technical guidance</w:t>
      </w:r>
      <w:r w:rsidRPr="006B354F">
        <w:rPr>
          <w:rFonts w:eastAsia="Times New Roman" w:cs="Times New Roman"/>
          <w:color w:val="000000"/>
          <w:szCs w:val="24"/>
        </w:rPr>
        <w:t> (</w:t>
      </w:r>
      <w:r w:rsidRPr="006B354F">
        <w:rPr>
          <w:rFonts w:eastAsia="Times New Roman" w:cs="Times New Roman"/>
          <w:i/>
          <w:iCs/>
          <w:color w:val="000000"/>
          <w:szCs w:val="24"/>
        </w:rPr>
        <w:t>bimbingan teknis</w:t>
      </w:r>
      <w:r w:rsidRPr="006B354F">
        <w:rPr>
          <w:rFonts w:eastAsia="Times New Roman" w:cs="Times New Roman"/>
          <w:color w:val="000000"/>
          <w:szCs w:val="24"/>
        </w:rPr>
        <w:t>) is still sufficient, but the official travel budget has run out before the end of the year.</w:t>
      </w:r>
    </w:p>
    <w:p w14:paraId="2AB3E600" w14:textId="11D6A54A" w:rsidR="008551FA" w:rsidRPr="001B0B69" w:rsidRDefault="008551FA" w:rsidP="008551FA">
      <w:pPr>
        <w:spacing w:line="276" w:lineRule="auto"/>
        <w:ind w:firstLine="709"/>
        <w:rPr>
          <w:rFonts w:eastAsia="Times New Roman" w:cs="Times New Roman"/>
          <w:color w:val="000000"/>
          <w:szCs w:val="24"/>
        </w:rPr>
      </w:pPr>
    </w:p>
    <w:p w14:paraId="1DCC90EF" w14:textId="4B8B9C77" w:rsidR="008551FA" w:rsidRPr="001B0B69" w:rsidRDefault="008551FA" w:rsidP="00F3766C">
      <w:pPr>
        <w:spacing w:line="240" w:lineRule="auto"/>
        <w:jc w:val="center"/>
        <w:rPr>
          <w:rFonts w:eastAsia="Times New Roman" w:cs="Times New Roman"/>
          <w:color w:val="000000"/>
          <w:sz w:val="22"/>
        </w:rPr>
      </w:pPr>
      <w:r w:rsidRPr="001B0B69">
        <w:rPr>
          <w:rFonts w:eastAsia="Times New Roman" w:cs="Times New Roman"/>
          <w:color w:val="000000"/>
          <w:sz w:val="22"/>
        </w:rPr>
        <w:t>Table 2</w:t>
      </w:r>
      <w:r w:rsidR="006E796F" w:rsidRPr="001B0B69">
        <w:rPr>
          <w:rFonts w:eastAsia="Times New Roman" w:cs="Times New Roman"/>
          <w:color w:val="000000"/>
          <w:sz w:val="22"/>
        </w:rPr>
        <w:t>.</w:t>
      </w:r>
      <w:r w:rsidRPr="001B0B69">
        <w:rPr>
          <w:rFonts w:eastAsia="Times New Roman" w:cs="Times New Roman"/>
          <w:color w:val="000000"/>
          <w:sz w:val="22"/>
        </w:rPr>
        <w:t xml:space="preserve"> Realization of the Budget of Datu Kandang Haji Hospital for the Period 2021 to 2023</w:t>
      </w:r>
    </w:p>
    <w:tbl>
      <w:tblPr>
        <w:tblW w:w="7950"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138"/>
        <w:gridCol w:w="2700"/>
        <w:gridCol w:w="2587"/>
        <w:gridCol w:w="1525"/>
      </w:tblGrid>
      <w:tr w:rsidR="008551FA" w:rsidRPr="001B0B69" w14:paraId="34424EE0" w14:textId="77777777" w:rsidTr="001B5F36">
        <w:trPr>
          <w:trHeight w:val="54"/>
          <w:jc w:val="center"/>
        </w:trPr>
        <w:tc>
          <w:tcPr>
            <w:tcW w:w="1138" w:type="dxa"/>
            <w:vAlign w:val="center"/>
            <w:hideMark/>
          </w:tcPr>
          <w:p w14:paraId="1C744EFD" w14:textId="77777777" w:rsidR="008551FA" w:rsidRPr="001B0B69" w:rsidRDefault="008551FA" w:rsidP="008551FA">
            <w:pPr>
              <w:pStyle w:val="BodyText"/>
              <w:jc w:val="center"/>
              <w:rPr>
                <w:b/>
                <w:sz w:val="22"/>
                <w:szCs w:val="22"/>
                <w:lang w:val="en-US"/>
              </w:rPr>
            </w:pPr>
            <w:r w:rsidRPr="001B0B69">
              <w:rPr>
                <w:b/>
                <w:sz w:val="22"/>
                <w:szCs w:val="22"/>
                <w:lang w:val="en-US"/>
              </w:rPr>
              <w:t>Year</w:t>
            </w:r>
          </w:p>
        </w:tc>
        <w:tc>
          <w:tcPr>
            <w:tcW w:w="2700" w:type="dxa"/>
            <w:vAlign w:val="center"/>
            <w:hideMark/>
          </w:tcPr>
          <w:p w14:paraId="3506F735" w14:textId="77777777" w:rsidR="008551FA" w:rsidRPr="001B0B69" w:rsidRDefault="008551FA" w:rsidP="008551FA">
            <w:pPr>
              <w:pStyle w:val="BodyText"/>
              <w:jc w:val="center"/>
              <w:rPr>
                <w:b/>
                <w:sz w:val="22"/>
                <w:szCs w:val="22"/>
                <w:lang w:val="en-US"/>
              </w:rPr>
            </w:pPr>
            <w:r w:rsidRPr="001B0B69">
              <w:rPr>
                <w:b/>
                <w:sz w:val="22"/>
                <w:szCs w:val="22"/>
                <w:lang w:val="en-US"/>
              </w:rPr>
              <w:t>Budget</w:t>
            </w:r>
          </w:p>
        </w:tc>
        <w:tc>
          <w:tcPr>
            <w:tcW w:w="2587" w:type="dxa"/>
            <w:vAlign w:val="center"/>
            <w:hideMark/>
          </w:tcPr>
          <w:p w14:paraId="6746880A" w14:textId="77777777" w:rsidR="008551FA" w:rsidRPr="001B0B69" w:rsidRDefault="008551FA" w:rsidP="008551FA">
            <w:pPr>
              <w:pStyle w:val="BodyText"/>
              <w:jc w:val="center"/>
              <w:rPr>
                <w:b/>
                <w:sz w:val="22"/>
                <w:szCs w:val="22"/>
                <w:lang w:val="en-US"/>
              </w:rPr>
            </w:pPr>
            <w:r w:rsidRPr="001B0B69">
              <w:rPr>
                <w:b/>
                <w:sz w:val="22"/>
                <w:szCs w:val="22"/>
                <w:lang w:val="en-US"/>
              </w:rPr>
              <w:t>Realization of Spending</w:t>
            </w:r>
          </w:p>
        </w:tc>
        <w:tc>
          <w:tcPr>
            <w:tcW w:w="1525" w:type="dxa"/>
            <w:vAlign w:val="center"/>
            <w:hideMark/>
          </w:tcPr>
          <w:p w14:paraId="17DDD508" w14:textId="77777777" w:rsidR="008551FA" w:rsidRPr="001B0B69" w:rsidRDefault="008551FA" w:rsidP="008551FA">
            <w:pPr>
              <w:pStyle w:val="BodyText"/>
              <w:jc w:val="center"/>
              <w:rPr>
                <w:b/>
                <w:sz w:val="22"/>
                <w:szCs w:val="22"/>
                <w:lang w:val="en-US"/>
              </w:rPr>
            </w:pPr>
            <w:r w:rsidRPr="001B0B69">
              <w:rPr>
                <w:b/>
                <w:sz w:val="22"/>
                <w:szCs w:val="22"/>
                <w:lang w:val="en-US"/>
              </w:rPr>
              <w:t>Percentage</w:t>
            </w:r>
          </w:p>
        </w:tc>
      </w:tr>
      <w:tr w:rsidR="008551FA" w:rsidRPr="001B0B69" w14:paraId="07F88F45" w14:textId="77777777" w:rsidTr="001B5F36">
        <w:trPr>
          <w:trHeight w:val="54"/>
          <w:jc w:val="center"/>
        </w:trPr>
        <w:tc>
          <w:tcPr>
            <w:tcW w:w="1138" w:type="dxa"/>
            <w:vAlign w:val="center"/>
            <w:hideMark/>
          </w:tcPr>
          <w:p w14:paraId="6ED8BF57" w14:textId="77777777" w:rsidR="008551FA" w:rsidRPr="001B0B69" w:rsidRDefault="008551FA" w:rsidP="008551FA">
            <w:pPr>
              <w:pStyle w:val="BodyText"/>
              <w:jc w:val="center"/>
              <w:rPr>
                <w:sz w:val="22"/>
                <w:szCs w:val="22"/>
                <w:lang w:val="en-US"/>
              </w:rPr>
            </w:pPr>
            <w:r w:rsidRPr="001B0B69">
              <w:rPr>
                <w:sz w:val="22"/>
                <w:szCs w:val="22"/>
                <w:lang w:val="en-US"/>
              </w:rPr>
              <w:t>2021</w:t>
            </w:r>
          </w:p>
        </w:tc>
        <w:tc>
          <w:tcPr>
            <w:tcW w:w="2700" w:type="dxa"/>
            <w:vAlign w:val="center"/>
            <w:hideMark/>
          </w:tcPr>
          <w:p w14:paraId="0C314FE4" w14:textId="77777777" w:rsidR="008551FA" w:rsidRPr="001B0B69" w:rsidRDefault="008551FA" w:rsidP="008551FA">
            <w:pPr>
              <w:pStyle w:val="BodyText"/>
              <w:jc w:val="center"/>
              <w:rPr>
                <w:sz w:val="22"/>
                <w:szCs w:val="22"/>
                <w:lang w:val="en-US"/>
              </w:rPr>
            </w:pPr>
            <w:r w:rsidRPr="001B0B69">
              <w:rPr>
                <w:sz w:val="22"/>
                <w:szCs w:val="22"/>
                <w:lang w:val="en-US"/>
              </w:rPr>
              <w:t>IDR 56,051,216,461,01</w:t>
            </w:r>
          </w:p>
        </w:tc>
        <w:tc>
          <w:tcPr>
            <w:tcW w:w="2587" w:type="dxa"/>
            <w:vAlign w:val="center"/>
            <w:hideMark/>
          </w:tcPr>
          <w:p w14:paraId="5AD284DD" w14:textId="77777777" w:rsidR="008551FA" w:rsidRPr="001B0B69" w:rsidRDefault="008551FA" w:rsidP="008551FA">
            <w:pPr>
              <w:pStyle w:val="BodyText"/>
              <w:jc w:val="center"/>
              <w:rPr>
                <w:sz w:val="22"/>
                <w:szCs w:val="22"/>
                <w:lang w:val="en-US"/>
              </w:rPr>
            </w:pPr>
            <w:r w:rsidRPr="001B0B69">
              <w:rPr>
                <w:sz w:val="22"/>
                <w:szCs w:val="22"/>
                <w:lang w:val="en-US"/>
              </w:rPr>
              <w:t>IDR 52,948,107,698,01</w:t>
            </w:r>
          </w:p>
        </w:tc>
        <w:tc>
          <w:tcPr>
            <w:tcW w:w="1525" w:type="dxa"/>
            <w:vAlign w:val="center"/>
            <w:hideMark/>
          </w:tcPr>
          <w:p w14:paraId="5940047A" w14:textId="77777777" w:rsidR="008551FA" w:rsidRPr="001B0B69" w:rsidRDefault="008551FA" w:rsidP="008551FA">
            <w:pPr>
              <w:pStyle w:val="BodyText"/>
              <w:jc w:val="center"/>
              <w:rPr>
                <w:sz w:val="22"/>
                <w:szCs w:val="22"/>
                <w:lang w:val="en-US"/>
              </w:rPr>
            </w:pPr>
            <w:r w:rsidRPr="001B0B69">
              <w:rPr>
                <w:sz w:val="22"/>
                <w:szCs w:val="22"/>
                <w:lang w:val="en-US"/>
              </w:rPr>
              <w:t>94,46%</w:t>
            </w:r>
          </w:p>
        </w:tc>
      </w:tr>
      <w:tr w:rsidR="008551FA" w:rsidRPr="001B0B69" w14:paraId="40E30992" w14:textId="77777777" w:rsidTr="001B5F36">
        <w:trPr>
          <w:trHeight w:val="54"/>
          <w:jc w:val="center"/>
        </w:trPr>
        <w:tc>
          <w:tcPr>
            <w:tcW w:w="1138" w:type="dxa"/>
            <w:vAlign w:val="center"/>
            <w:hideMark/>
          </w:tcPr>
          <w:p w14:paraId="659D0076" w14:textId="77777777" w:rsidR="008551FA" w:rsidRPr="001B0B69" w:rsidRDefault="008551FA" w:rsidP="008551FA">
            <w:pPr>
              <w:pStyle w:val="BodyText"/>
              <w:jc w:val="center"/>
              <w:rPr>
                <w:sz w:val="22"/>
                <w:szCs w:val="22"/>
                <w:lang w:val="en-US"/>
              </w:rPr>
            </w:pPr>
            <w:r w:rsidRPr="001B0B69">
              <w:rPr>
                <w:sz w:val="22"/>
                <w:szCs w:val="22"/>
                <w:lang w:val="en-US"/>
              </w:rPr>
              <w:t>2022</w:t>
            </w:r>
          </w:p>
        </w:tc>
        <w:tc>
          <w:tcPr>
            <w:tcW w:w="2700" w:type="dxa"/>
            <w:vAlign w:val="center"/>
            <w:hideMark/>
          </w:tcPr>
          <w:p w14:paraId="5327AA20" w14:textId="77777777" w:rsidR="008551FA" w:rsidRPr="001B0B69" w:rsidRDefault="008551FA" w:rsidP="008551FA">
            <w:pPr>
              <w:pStyle w:val="BodyText"/>
              <w:jc w:val="center"/>
              <w:rPr>
                <w:sz w:val="22"/>
                <w:szCs w:val="22"/>
                <w:lang w:val="en-US"/>
              </w:rPr>
            </w:pPr>
            <w:r w:rsidRPr="001B0B69">
              <w:rPr>
                <w:sz w:val="22"/>
                <w:szCs w:val="22"/>
                <w:lang w:val="en-US"/>
              </w:rPr>
              <w:t>IDR 84,764,848,476,74</w:t>
            </w:r>
          </w:p>
        </w:tc>
        <w:tc>
          <w:tcPr>
            <w:tcW w:w="2587" w:type="dxa"/>
            <w:vAlign w:val="center"/>
            <w:hideMark/>
          </w:tcPr>
          <w:p w14:paraId="33B65FBF" w14:textId="77777777" w:rsidR="008551FA" w:rsidRPr="001B0B69" w:rsidRDefault="008551FA" w:rsidP="008551FA">
            <w:pPr>
              <w:pStyle w:val="BodyText"/>
              <w:jc w:val="center"/>
              <w:rPr>
                <w:sz w:val="22"/>
                <w:szCs w:val="22"/>
                <w:lang w:val="en-US"/>
              </w:rPr>
            </w:pPr>
            <w:r w:rsidRPr="001B0B69">
              <w:rPr>
                <w:sz w:val="22"/>
                <w:szCs w:val="22"/>
                <w:lang w:val="en-US"/>
              </w:rPr>
              <w:t>IDR 72,150,930,894,10</w:t>
            </w:r>
          </w:p>
        </w:tc>
        <w:tc>
          <w:tcPr>
            <w:tcW w:w="1525" w:type="dxa"/>
            <w:vAlign w:val="center"/>
            <w:hideMark/>
          </w:tcPr>
          <w:p w14:paraId="7683FF38" w14:textId="77777777" w:rsidR="008551FA" w:rsidRPr="001B0B69" w:rsidRDefault="008551FA" w:rsidP="008551FA">
            <w:pPr>
              <w:pStyle w:val="BodyText"/>
              <w:jc w:val="center"/>
              <w:rPr>
                <w:sz w:val="22"/>
                <w:szCs w:val="22"/>
                <w:lang w:val="en-US"/>
              </w:rPr>
            </w:pPr>
            <w:r w:rsidRPr="001B0B69">
              <w:rPr>
                <w:sz w:val="22"/>
                <w:szCs w:val="22"/>
                <w:lang w:val="en-US"/>
              </w:rPr>
              <w:t>85,11%</w:t>
            </w:r>
          </w:p>
        </w:tc>
      </w:tr>
      <w:tr w:rsidR="008551FA" w:rsidRPr="001B0B69" w14:paraId="06477ED4" w14:textId="77777777" w:rsidTr="001B5F36">
        <w:trPr>
          <w:trHeight w:val="54"/>
          <w:jc w:val="center"/>
        </w:trPr>
        <w:tc>
          <w:tcPr>
            <w:tcW w:w="1138" w:type="dxa"/>
            <w:vAlign w:val="center"/>
            <w:hideMark/>
          </w:tcPr>
          <w:p w14:paraId="60F2F430" w14:textId="77777777" w:rsidR="008551FA" w:rsidRPr="001B0B69" w:rsidRDefault="008551FA" w:rsidP="008551FA">
            <w:pPr>
              <w:pStyle w:val="BodyText"/>
              <w:jc w:val="center"/>
              <w:rPr>
                <w:sz w:val="22"/>
                <w:szCs w:val="22"/>
                <w:lang w:val="en-US"/>
              </w:rPr>
            </w:pPr>
            <w:r w:rsidRPr="001B0B69">
              <w:rPr>
                <w:sz w:val="22"/>
                <w:szCs w:val="22"/>
                <w:lang w:val="en-US"/>
              </w:rPr>
              <w:t>2023</w:t>
            </w:r>
          </w:p>
        </w:tc>
        <w:tc>
          <w:tcPr>
            <w:tcW w:w="2700" w:type="dxa"/>
            <w:vAlign w:val="center"/>
            <w:hideMark/>
          </w:tcPr>
          <w:p w14:paraId="638EC095" w14:textId="77777777" w:rsidR="008551FA" w:rsidRPr="001B0B69" w:rsidRDefault="008551FA" w:rsidP="008551FA">
            <w:pPr>
              <w:pStyle w:val="BodyText"/>
              <w:jc w:val="center"/>
              <w:rPr>
                <w:sz w:val="22"/>
                <w:szCs w:val="22"/>
                <w:lang w:val="en-US"/>
              </w:rPr>
            </w:pPr>
            <w:r w:rsidRPr="001B0B69">
              <w:rPr>
                <w:sz w:val="22"/>
                <w:szCs w:val="22"/>
                <w:lang w:val="en-US"/>
              </w:rPr>
              <w:t>IDR 63,620,766,992,99</w:t>
            </w:r>
          </w:p>
        </w:tc>
        <w:tc>
          <w:tcPr>
            <w:tcW w:w="2587" w:type="dxa"/>
            <w:vAlign w:val="center"/>
            <w:hideMark/>
          </w:tcPr>
          <w:p w14:paraId="767F0A96" w14:textId="77777777" w:rsidR="008551FA" w:rsidRPr="001B0B69" w:rsidRDefault="008551FA" w:rsidP="008551FA">
            <w:pPr>
              <w:pStyle w:val="BodyText"/>
              <w:jc w:val="center"/>
              <w:rPr>
                <w:sz w:val="22"/>
                <w:szCs w:val="22"/>
                <w:lang w:val="en-US"/>
              </w:rPr>
            </w:pPr>
            <w:r w:rsidRPr="001B0B69">
              <w:rPr>
                <w:sz w:val="22"/>
                <w:szCs w:val="22"/>
                <w:lang w:val="en-US"/>
              </w:rPr>
              <w:t>IDR 62,972,678,512,66</w:t>
            </w:r>
          </w:p>
        </w:tc>
        <w:tc>
          <w:tcPr>
            <w:tcW w:w="1525" w:type="dxa"/>
            <w:vAlign w:val="center"/>
            <w:hideMark/>
          </w:tcPr>
          <w:p w14:paraId="02C6235E" w14:textId="77777777" w:rsidR="008551FA" w:rsidRPr="001B0B69" w:rsidRDefault="008551FA" w:rsidP="008551FA">
            <w:pPr>
              <w:pStyle w:val="BodyText"/>
              <w:jc w:val="center"/>
              <w:rPr>
                <w:sz w:val="22"/>
                <w:szCs w:val="22"/>
                <w:lang w:val="en-US"/>
              </w:rPr>
            </w:pPr>
            <w:r w:rsidRPr="001B0B69">
              <w:rPr>
                <w:sz w:val="22"/>
                <w:szCs w:val="22"/>
                <w:lang w:val="en-US"/>
              </w:rPr>
              <w:t>98, 98%</w:t>
            </w:r>
          </w:p>
        </w:tc>
      </w:tr>
    </w:tbl>
    <w:p w14:paraId="7E7E7866" w14:textId="77777777" w:rsidR="008551FA" w:rsidRPr="001B0B69" w:rsidRDefault="008551FA" w:rsidP="008551FA">
      <w:pPr>
        <w:spacing w:line="240" w:lineRule="auto"/>
        <w:jc w:val="center"/>
        <w:rPr>
          <w:rFonts w:eastAsia="Times New Roman" w:cs="Times New Roman"/>
          <w:color w:val="000000"/>
          <w:sz w:val="22"/>
        </w:rPr>
      </w:pPr>
      <w:r w:rsidRPr="001B0B69">
        <w:rPr>
          <w:rFonts w:eastAsia="Times New Roman" w:cs="Times New Roman"/>
          <w:color w:val="000000"/>
          <w:sz w:val="22"/>
        </w:rPr>
        <w:t>Source: Sub. Planning and Finance Division of Datu Kandang Haj Hospital, 2024</w:t>
      </w:r>
    </w:p>
    <w:p w14:paraId="27394E47" w14:textId="77777777" w:rsidR="006B354F" w:rsidRPr="001B0B69" w:rsidRDefault="006B354F" w:rsidP="008551FA">
      <w:pPr>
        <w:spacing w:line="276" w:lineRule="auto"/>
        <w:ind w:firstLine="709"/>
        <w:rPr>
          <w:rFonts w:eastAsia="Times New Roman" w:cs="Times New Roman"/>
          <w:color w:val="000000"/>
          <w:szCs w:val="24"/>
        </w:rPr>
      </w:pPr>
    </w:p>
    <w:p w14:paraId="6BB087CF"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The phenomenon that occurred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was the realization of the </w:t>
      </w:r>
      <w:r w:rsidRPr="006B354F">
        <w:rPr>
          <w:rFonts w:eastAsia="Times New Roman" w:cs="Times New Roman"/>
          <w:i/>
          <w:iCs/>
          <w:color w:val="000000"/>
          <w:szCs w:val="24"/>
        </w:rPr>
        <w:t>Datu Kandang Haji Hospital</w:t>
      </w:r>
      <w:r w:rsidRPr="006B354F">
        <w:rPr>
          <w:rFonts w:eastAsia="Times New Roman" w:cs="Times New Roman"/>
          <w:color w:val="000000"/>
          <w:szCs w:val="24"/>
        </w:rPr>
        <w:t xml:space="preserve"> budget in 2021 of 94.46%, in 2022 of </w:t>
      </w:r>
      <w:r w:rsidRPr="006B354F">
        <w:rPr>
          <w:rFonts w:eastAsia="Times New Roman" w:cs="Times New Roman"/>
          <w:color w:val="000000"/>
          <w:szCs w:val="24"/>
        </w:rPr>
        <w:lastRenderedPageBreak/>
        <w:t>85.11%, and in 2023 of 98.98%. In 2022, it dropped to 85.11%. This achievement decreased significantly compared to the achievement in 2021 and managed to rise again in 2023. The implementation of suboptimal budget participation causes various obstacles, so that some activities cannot be carried out. In 2022, the budget realization decreased to 85.11%, which indicates that the lack of involvement of implementers in the budget-preparation process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resulted in the budget not being absorbed properly, in addition to some expenditures that were not realized on time. Excessive estimates of needs cause the budget to not be absorbed optimally.</w:t>
      </w:r>
    </w:p>
    <w:p w14:paraId="6E5701B7"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The phenomenon of lack of attention to motivation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affects managerial performance. Motivation plays an important role in ensuring that the tasks given can be completed properly. High job demands without adequate support lead to employee dissatisfaction with their current achievements, which can hinder managerial performance and have an impact on declining employee performance. High morale in the company environment will support smooth operations and produce optimal performance. One of the factors that can encourage the improvement of employee performance is the provision of the right motivation, so that employees are expected to continue to improve and enhance the quality of their performance on an ongoing basis.</w:t>
      </w:r>
    </w:p>
    <w:p w14:paraId="1AE9AA84"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The number of public complaints through the suggestion box, online, and face-to-face about the competence of hospital employees, both medical and non-medical, is also a problem in hospital services. The phenomena that have been described show the problems that occur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so it can be concluded that the lack of control carried out by the managerial-level employees and the capacity of human resources must be supported by adequate levels of education, experience, and skills in order to improve managerial performance.</w:t>
      </w:r>
    </w:p>
    <w:p w14:paraId="113F4620"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In line with one of the missions of </w:t>
      </w:r>
      <w:r w:rsidRPr="006B354F">
        <w:rPr>
          <w:rFonts w:eastAsia="Times New Roman" w:cs="Times New Roman"/>
          <w:i/>
          <w:iCs/>
          <w:color w:val="000000"/>
          <w:szCs w:val="24"/>
        </w:rPr>
        <w:t>Datu Kandang Haji Hospital</w:t>
      </w:r>
      <w:r w:rsidRPr="006B354F">
        <w:rPr>
          <w:rFonts w:eastAsia="Times New Roman" w:cs="Times New Roman"/>
          <w:color w:val="000000"/>
          <w:szCs w:val="24"/>
        </w:rPr>
        <w:t>, namely "Developing quality human resources through the mechanics of continuous learning," </w:t>
      </w:r>
      <w:r w:rsidRPr="006B354F">
        <w:rPr>
          <w:rFonts w:eastAsia="Times New Roman" w:cs="Times New Roman"/>
          <w:i/>
          <w:iCs/>
          <w:color w:val="000000"/>
          <w:szCs w:val="24"/>
        </w:rPr>
        <w:t>Datu Kandang Haji Hospital</w:t>
      </w:r>
      <w:r w:rsidRPr="006B354F">
        <w:rPr>
          <w:rFonts w:eastAsia="Times New Roman" w:cs="Times New Roman"/>
          <w:color w:val="000000"/>
          <w:szCs w:val="24"/>
        </w:rPr>
        <w:t> needs to hold special training for competent human resources at least once a year in order to create competent human resources. As a </w:t>
      </w:r>
      <w:r w:rsidRPr="006B354F">
        <w:rPr>
          <w:rFonts w:eastAsia="Times New Roman" w:cs="Times New Roman"/>
          <w:i/>
          <w:iCs/>
          <w:color w:val="000000"/>
          <w:szCs w:val="24"/>
        </w:rPr>
        <w:t>BLUD</w:t>
      </w:r>
      <w:r w:rsidRPr="006B354F">
        <w:rPr>
          <w:rFonts w:eastAsia="Times New Roman" w:cs="Times New Roman"/>
          <w:color w:val="000000"/>
          <w:szCs w:val="24"/>
        </w:rPr>
        <w:t> task force, this training is carried out equally for all employees according to their competence. Human resources in hospitals will gain new knowledge and experience to support the performance of hospital employees through the training they take. Lack of motivation towards hospital managers can also affect managerial performance. On the other hand, if an organization or agency does not provide opportunities for employees to participate in training, it can cause demotivation for the employees, which results in a decrease in enthusiasm in performance and also affects the decrease in the level of service provided to the community.</w:t>
      </w:r>
    </w:p>
    <w:p w14:paraId="4371E7A2" w14:textId="725BD61C"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There is research on what variables can affect managerial performance. This research is a development of Prastawa's (2023) research, which examines the "Influence of Competence, Budget Preparation Participation, and Motivation on the Performance of Village Apparatus in Pancur District." This study was conducted because previous research showed different results</w:t>
      </w:r>
      <w:r w:rsidR="006D1B22">
        <w:rPr>
          <w:rFonts w:eastAsia="Times New Roman" w:cs="Times New Roman"/>
          <w:color w:val="000000"/>
          <w:szCs w:val="24"/>
        </w:rPr>
        <w:t xml:space="preserve"> (</w:t>
      </w:r>
      <w:r w:rsidR="006D1B22" w:rsidRPr="00222C11">
        <w:rPr>
          <w:color w:val="000000" w:themeColor="text1"/>
          <w:szCs w:val="24"/>
          <w:lang w:val="en-ID"/>
        </w:rPr>
        <w:t>Djaman,</w:t>
      </w:r>
      <w:r w:rsidR="006D1B22">
        <w:rPr>
          <w:color w:val="000000" w:themeColor="text1"/>
          <w:szCs w:val="24"/>
          <w:lang w:val="en-ID"/>
        </w:rPr>
        <w:t xml:space="preserve"> </w:t>
      </w:r>
      <w:r w:rsidR="006D1B22" w:rsidRPr="00222C11">
        <w:rPr>
          <w:color w:val="000000" w:themeColor="text1"/>
          <w:szCs w:val="24"/>
          <w:lang w:val="en-ID"/>
        </w:rPr>
        <w:t>2021)</w:t>
      </w:r>
      <w:r w:rsidRPr="006B354F">
        <w:rPr>
          <w:rFonts w:eastAsia="Times New Roman" w:cs="Times New Roman"/>
          <w:color w:val="000000"/>
          <w:szCs w:val="24"/>
        </w:rPr>
        <w:t>.</w:t>
      </w:r>
    </w:p>
    <w:p w14:paraId="03CFF990" w14:textId="1E3514FB"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lastRenderedPageBreak/>
        <w:t>The difference between this study and the previous research lies in the Y variable, which uses the managerial performance variable. The reason for choosing the managerial performance variable is because the manager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has a significant impact on the operational and strategic success of the hospital. Managerial performance is often used to evaluate a hospital's ability to manage costs and ensure quality service; it also includes management's ability to make strategic decisions, solve problems, and implement innovation. In addition, the research object used in this study is </w:t>
      </w:r>
      <w:r w:rsidRPr="006B354F">
        <w:rPr>
          <w:rFonts w:eastAsia="Times New Roman" w:cs="Times New Roman"/>
          <w:i/>
          <w:iCs/>
          <w:color w:val="000000"/>
          <w:szCs w:val="24"/>
        </w:rPr>
        <w:t>Datu Kandang Haji Hospital</w:t>
      </w:r>
      <w:r w:rsidRPr="006B354F">
        <w:rPr>
          <w:rFonts w:eastAsia="Times New Roman" w:cs="Times New Roman"/>
          <w:color w:val="000000"/>
          <w:szCs w:val="24"/>
        </w:rPr>
        <w:t>, Balangan Regency, with a research year of 2024</w:t>
      </w:r>
      <w:r w:rsidR="006D1B22">
        <w:rPr>
          <w:rFonts w:eastAsia="Times New Roman" w:cs="Times New Roman"/>
          <w:color w:val="000000"/>
          <w:szCs w:val="24"/>
        </w:rPr>
        <w:t xml:space="preserve"> (</w:t>
      </w:r>
      <w:r w:rsidR="006D1B22" w:rsidRPr="00222C11">
        <w:rPr>
          <w:color w:val="000000" w:themeColor="text1"/>
          <w:szCs w:val="24"/>
          <w:lang w:val="en-ID"/>
        </w:rPr>
        <w:t>Arifah,</w:t>
      </w:r>
      <w:r w:rsidR="006D1B22">
        <w:rPr>
          <w:color w:val="000000" w:themeColor="text1"/>
          <w:szCs w:val="24"/>
          <w:lang w:val="en-ID"/>
        </w:rPr>
        <w:t xml:space="preserve"> </w:t>
      </w:r>
      <w:r w:rsidR="006D1B22" w:rsidRPr="00222C11">
        <w:rPr>
          <w:color w:val="000000" w:themeColor="text1"/>
          <w:szCs w:val="24"/>
          <w:lang w:val="en-ID"/>
        </w:rPr>
        <w:t>2022)</w:t>
      </w:r>
      <w:r w:rsidRPr="006B354F">
        <w:rPr>
          <w:rFonts w:eastAsia="Times New Roman" w:cs="Times New Roman"/>
          <w:color w:val="000000"/>
          <w:szCs w:val="24"/>
        </w:rPr>
        <w:t>.</w:t>
      </w:r>
    </w:p>
    <w:p w14:paraId="5CA5B645"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Based on the background that has been described regarding what happened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the author is interested in conducting research. The title of this study is entitled "The Influence of Budget Participation, Motivation, and Competence on the Managerial Performance of </w:t>
      </w:r>
      <w:r w:rsidRPr="006B354F">
        <w:rPr>
          <w:rFonts w:eastAsia="Times New Roman" w:cs="Times New Roman"/>
          <w:i/>
          <w:iCs/>
          <w:color w:val="000000"/>
          <w:szCs w:val="24"/>
        </w:rPr>
        <w:t>Datu Kandang Haji Hospital</w:t>
      </w:r>
      <w:r w:rsidRPr="006B354F">
        <w:rPr>
          <w:rFonts w:eastAsia="Times New Roman" w:cs="Times New Roman"/>
          <w:color w:val="000000"/>
          <w:szCs w:val="24"/>
        </w:rPr>
        <w:t>."</w:t>
      </w:r>
    </w:p>
    <w:p w14:paraId="5C4E4E4E"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The objectives of this study are: to test and analyze the influence of budget participation on managerial performance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to test and analyze the influence of motivation on managerial performance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 and to test and analyze the impact of competence on managerial performance at </w:t>
      </w:r>
      <w:r w:rsidRPr="006B354F">
        <w:rPr>
          <w:rFonts w:eastAsia="Times New Roman" w:cs="Times New Roman"/>
          <w:i/>
          <w:iCs/>
          <w:color w:val="000000"/>
          <w:szCs w:val="24"/>
        </w:rPr>
        <w:t>Datu Kandang Haji Hospital</w:t>
      </w:r>
      <w:r w:rsidRPr="006B354F">
        <w:rPr>
          <w:rFonts w:eastAsia="Times New Roman" w:cs="Times New Roman"/>
          <w:color w:val="000000"/>
          <w:szCs w:val="24"/>
        </w:rPr>
        <w:t>.</w:t>
      </w:r>
    </w:p>
    <w:p w14:paraId="431EECFD" w14:textId="77777777" w:rsidR="006B354F" w:rsidRPr="006B354F" w:rsidRDefault="006B354F" w:rsidP="006B354F">
      <w:pPr>
        <w:spacing w:line="276" w:lineRule="auto"/>
        <w:ind w:firstLine="709"/>
        <w:rPr>
          <w:rFonts w:eastAsia="Times New Roman" w:cs="Times New Roman"/>
          <w:color w:val="000000"/>
          <w:szCs w:val="24"/>
        </w:rPr>
      </w:pPr>
      <w:r w:rsidRPr="006B354F">
        <w:rPr>
          <w:rFonts w:eastAsia="Times New Roman" w:cs="Times New Roman"/>
          <w:color w:val="000000"/>
          <w:szCs w:val="24"/>
        </w:rPr>
        <w:t>This research is expected to provide benefits for several parties, including: as an additional reference for future research, especially related to budget participation, motivation, and competence in managerial performance; for employees, this research is expected to provide benefits as material for evaluating managerial performance in budget management, preparation, and accountability; for the organization, this research is expected to provide benefits and contributions for related parties in determining the direction of management policies to improve the performance and effectiveness of the organization's managerial performance; and for researchers, it is hoped that this research can be used as a reference in the development of relevant future research, especially related to budget participation, motivation, and competence in managerial performance.</w:t>
      </w:r>
    </w:p>
    <w:p w14:paraId="78C0EC63" w14:textId="77777777" w:rsidR="00EE1888" w:rsidRPr="001B0B69" w:rsidRDefault="00EE1888" w:rsidP="00EE1888">
      <w:pPr>
        <w:spacing w:line="276" w:lineRule="auto"/>
        <w:ind w:firstLine="709"/>
        <w:rPr>
          <w:rFonts w:cs="Times New Roman"/>
          <w:szCs w:val="24"/>
        </w:rPr>
      </w:pPr>
    </w:p>
    <w:p w14:paraId="5A74E3A8" w14:textId="6B6A1E47" w:rsidR="00E25BC5" w:rsidRPr="001B0B69" w:rsidRDefault="006F2D9C" w:rsidP="001A4D99">
      <w:pPr>
        <w:spacing w:line="240" w:lineRule="auto"/>
        <w:jc w:val="center"/>
        <w:rPr>
          <w:rFonts w:cs="Times New Roman"/>
          <w:b/>
          <w:bCs/>
          <w:color w:val="002060"/>
        </w:rPr>
      </w:pPr>
      <w:r w:rsidRPr="001B0B69">
        <w:rPr>
          <w:rFonts w:cs="Times New Roman"/>
          <w:b/>
          <w:bCs/>
          <w:color w:val="002060"/>
        </w:rPr>
        <w:t xml:space="preserve">METHOD </w:t>
      </w:r>
      <w:bookmarkStart w:id="1" w:name="_Toc192489335"/>
      <w:bookmarkEnd w:id="0"/>
    </w:p>
    <w:p w14:paraId="417CB55E" w14:textId="77777777" w:rsidR="006B354F" w:rsidRPr="006B354F" w:rsidRDefault="006B354F" w:rsidP="006B354F">
      <w:pPr>
        <w:spacing w:line="276" w:lineRule="auto"/>
        <w:ind w:firstLine="709"/>
        <w:rPr>
          <w:rFonts w:cs="Times New Roman"/>
          <w:color w:val="000000"/>
          <w:szCs w:val="24"/>
        </w:rPr>
      </w:pPr>
      <w:bookmarkStart w:id="2" w:name="_Toc192489345"/>
      <w:bookmarkEnd w:id="1"/>
      <w:r w:rsidRPr="006B354F">
        <w:rPr>
          <w:rFonts w:cs="Times New Roman"/>
          <w:color w:val="000000"/>
          <w:szCs w:val="24"/>
        </w:rPr>
        <w:t>This research focuses on </w:t>
      </w:r>
      <w:r w:rsidRPr="006B354F">
        <w:rPr>
          <w:rFonts w:cs="Times New Roman"/>
          <w:i/>
          <w:iCs/>
          <w:color w:val="000000"/>
          <w:szCs w:val="24"/>
        </w:rPr>
        <w:t>Datu Kandang Haji Hospital</w:t>
      </w:r>
      <w:r w:rsidRPr="006B354F">
        <w:rPr>
          <w:rFonts w:cs="Times New Roman"/>
          <w:color w:val="000000"/>
          <w:szCs w:val="24"/>
        </w:rPr>
        <w:t> in Balangan Regency as the object of research. The scope of this study is variables related to managerial performance in hospitals. This study uses a quantitative method. According to Sugiyono (2012:14), this method is based on positivism and researches the population and randomly selected samples. Data were obtained through research instruments and analyzed quantitatively to test hypotheses. The location of the research is at </w:t>
      </w:r>
      <w:r w:rsidRPr="006B354F">
        <w:rPr>
          <w:rFonts w:cs="Times New Roman"/>
          <w:i/>
          <w:iCs/>
          <w:color w:val="000000"/>
          <w:szCs w:val="24"/>
        </w:rPr>
        <w:t>Datu Kandang Haji Hospital</w:t>
      </w:r>
      <w:r w:rsidRPr="006B354F">
        <w:rPr>
          <w:rFonts w:cs="Times New Roman"/>
          <w:color w:val="000000"/>
          <w:szCs w:val="24"/>
        </w:rPr>
        <w:t> on Jl. Lingkar Timur Km 1.7, Balangan Regency. The analysis unit in this study is all managers at </w:t>
      </w:r>
      <w:r w:rsidRPr="006B354F">
        <w:rPr>
          <w:rFonts w:cs="Times New Roman"/>
          <w:i/>
          <w:iCs/>
          <w:color w:val="000000"/>
          <w:szCs w:val="24"/>
        </w:rPr>
        <w:t>Datu Kandang Haji Hospital</w:t>
      </w:r>
      <w:r w:rsidRPr="006B354F">
        <w:rPr>
          <w:rFonts w:cs="Times New Roman"/>
          <w:color w:val="000000"/>
          <w:szCs w:val="24"/>
        </w:rPr>
        <w:t>.</w:t>
      </w:r>
    </w:p>
    <w:p w14:paraId="6AECB962" w14:textId="77777777" w:rsidR="006B354F" w:rsidRPr="001B0B69" w:rsidRDefault="006B354F" w:rsidP="006B354F">
      <w:pPr>
        <w:spacing w:line="276" w:lineRule="auto"/>
        <w:rPr>
          <w:rFonts w:cs="Times New Roman"/>
          <w:color w:val="000000"/>
          <w:szCs w:val="24"/>
        </w:rPr>
      </w:pPr>
      <w:r w:rsidRPr="006B354F">
        <w:rPr>
          <w:rFonts w:cs="Times New Roman"/>
          <w:b/>
          <w:bCs/>
          <w:color w:val="000000"/>
          <w:szCs w:val="24"/>
        </w:rPr>
        <w:t>Population and Sample</w:t>
      </w:r>
    </w:p>
    <w:p w14:paraId="6846A96B" w14:textId="462DED13" w:rsidR="006B354F" w:rsidRPr="006B354F" w:rsidRDefault="006B354F" w:rsidP="006B354F">
      <w:pPr>
        <w:spacing w:line="276" w:lineRule="auto"/>
        <w:ind w:firstLine="709"/>
        <w:rPr>
          <w:rFonts w:cs="Times New Roman"/>
          <w:color w:val="000000"/>
          <w:szCs w:val="24"/>
        </w:rPr>
      </w:pPr>
      <w:r w:rsidRPr="006B354F">
        <w:rPr>
          <w:rFonts w:cs="Times New Roman"/>
          <w:color w:val="000000"/>
          <w:szCs w:val="24"/>
        </w:rPr>
        <w:t xml:space="preserve">Population is a collection of objects or subjects with specific characteristics that are determined by the researcher as the focus of the research and conclusion (Sugiyono, 2012:115). Population is a group that focuses on reaching a general conclusion. </w:t>
      </w:r>
      <w:r w:rsidRPr="006B354F">
        <w:rPr>
          <w:rFonts w:cs="Times New Roman"/>
          <w:color w:val="000000"/>
          <w:szCs w:val="24"/>
        </w:rPr>
        <w:lastRenderedPageBreak/>
        <w:t>Populations can be people, objects, events, or values that meet the research criteria. The population in this study is all managers at </w:t>
      </w:r>
      <w:r w:rsidRPr="006B354F">
        <w:rPr>
          <w:rFonts w:cs="Times New Roman"/>
          <w:i/>
          <w:iCs/>
          <w:color w:val="000000"/>
          <w:szCs w:val="24"/>
        </w:rPr>
        <w:t>Datu Kandang Haji Hospital</w:t>
      </w:r>
      <w:r w:rsidRPr="006B354F">
        <w:rPr>
          <w:rFonts w:cs="Times New Roman"/>
          <w:color w:val="000000"/>
          <w:szCs w:val="24"/>
        </w:rPr>
        <w:t>, totaling 33 people.</w:t>
      </w:r>
    </w:p>
    <w:p w14:paraId="79DE58A4" w14:textId="77777777" w:rsidR="006B354F" w:rsidRPr="006B354F" w:rsidRDefault="006B354F" w:rsidP="006B354F">
      <w:pPr>
        <w:spacing w:line="276" w:lineRule="auto"/>
        <w:ind w:firstLine="709"/>
        <w:rPr>
          <w:rFonts w:cs="Times New Roman"/>
          <w:color w:val="000000"/>
          <w:szCs w:val="24"/>
        </w:rPr>
      </w:pPr>
      <w:r w:rsidRPr="006B354F">
        <w:rPr>
          <w:rFonts w:cs="Times New Roman"/>
          <w:color w:val="000000"/>
          <w:szCs w:val="24"/>
        </w:rPr>
        <w:t>A sample is a part of a population that has certain characteristics (Sugiyono, 2012:73). This study applies the saturated sampling method (</w:t>
      </w:r>
      <w:r w:rsidRPr="006B354F">
        <w:rPr>
          <w:rFonts w:cs="Times New Roman"/>
          <w:i/>
          <w:iCs/>
          <w:color w:val="000000"/>
          <w:szCs w:val="24"/>
        </w:rPr>
        <w:t>census</w:t>
      </w:r>
      <w:r w:rsidRPr="006B354F">
        <w:rPr>
          <w:rFonts w:cs="Times New Roman"/>
          <w:color w:val="000000"/>
          <w:szCs w:val="24"/>
        </w:rPr>
        <w:t>), which is a technique that involves all members of the population as a sample (Sugiyono, 2012:96). The sample in this study includes all members of the population who meet the research criteria, namely the Head of Section (</w:t>
      </w:r>
      <w:r w:rsidRPr="006B354F">
        <w:rPr>
          <w:rFonts w:cs="Times New Roman"/>
          <w:i/>
          <w:iCs/>
          <w:color w:val="000000"/>
          <w:szCs w:val="24"/>
        </w:rPr>
        <w:t>Kabag</w:t>
      </w:r>
      <w:r w:rsidRPr="006B354F">
        <w:rPr>
          <w:rFonts w:cs="Times New Roman"/>
          <w:color w:val="000000"/>
          <w:szCs w:val="24"/>
        </w:rPr>
        <w:t>), Head of Division (</w:t>
      </w:r>
      <w:r w:rsidRPr="006B354F">
        <w:rPr>
          <w:rFonts w:cs="Times New Roman"/>
          <w:i/>
          <w:iCs/>
          <w:color w:val="000000"/>
          <w:szCs w:val="24"/>
        </w:rPr>
        <w:t>Kabid</w:t>
      </w:r>
      <w:r w:rsidRPr="006B354F">
        <w:rPr>
          <w:rFonts w:cs="Times New Roman"/>
          <w:color w:val="000000"/>
          <w:szCs w:val="24"/>
        </w:rPr>
        <w:t>), Head of Sub-Division (</w:t>
      </w:r>
      <w:r w:rsidRPr="006B354F">
        <w:rPr>
          <w:rFonts w:cs="Times New Roman"/>
          <w:i/>
          <w:iCs/>
          <w:color w:val="000000"/>
          <w:szCs w:val="24"/>
        </w:rPr>
        <w:t>Kasubbag</w:t>
      </w:r>
      <w:r w:rsidRPr="006B354F">
        <w:rPr>
          <w:rFonts w:cs="Times New Roman"/>
          <w:color w:val="000000"/>
          <w:szCs w:val="24"/>
        </w:rPr>
        <w:t>), Head of Section (</w:t>
      </w:r>
      <w:r w:rsidRPr="006B354F">
        <w:rPr>
          <w:rFonts w:cs="Times New Roman"/>
          <w:i/>
          <w:iCs/>
          <w:color w:val="000000"/>
          <w:szCs w:val="24"/>
        </w:rPr>
        <w:t>Kasi</w:t>
      </w:r>
      <w:r w:rsidRPr="006B354F">
        <w:rPr>
          <w:rFonts w:cs="Times New Roman"/>
          <w:color w:val="000000"/>
          <w:szCs w:val="24"/>
        </w:rPr>
        <w:t>), and Head of Room at </w:t>
      </w:r>
      <w:r w:rsidRPr="006B354F">
        <w:rPr>
          <w:rFonts w:cs="Times New Roman"/>
          <w:i/>
          <w:iCs/>
          <w:color w:val="000000"/>
          <w:szCs w:val="24"/>
        </w:rPr>
        <w:t>Datu Kandang Haji Hospital</w:t>
      </w:r>
      <w:r w:rsidRPr="006B354F">
        <w:rPr>
          <w:rFonts w:cs="Times New Roman"/>
          <w:color w:val="000000"/>
          <w:szCs w:val="24"/>
        </w:rPr>
        <w:t> who have a role and involvement in the preparation, implementation, and accountability of the budget. The relatively small population allows all of them to be used as a research sample, with a total of 33 people.</w:t>
      </w:r>
    </w:p>
    <w:p w14:paraId="57FBE111" w14:textId="77777777" w:rsidR="006B354F" w:rsidRPr="001B0B69" w:rsidRDefault="006B354F" w:rsidP="006B354F">
      <w:pPr>
        <w:spacing w:line="276" w:lineRule="auto"/>
        <w:rPr>
          <w:rFonts w:cs="Times New Roman"/>
          <w:color w:val="000000"/>
          <w:szCs w:val="24"/>
        </w:rPr>
      </w:pPr>
      <w:r w:rsidRPr="006B354F">
        <w:rPr>
          <w:rFonts w:cs="Times New Roman"/>
          <w:b/>
          <w:bCs/>
          <w:color w:val="000000"/>
          <w:szCs w:val="24"/>
        </w:rPr>
        <w:t>Data Collection Techniques</w:t>
      </w:r>
    </w:p>
    <w:p w14:paraId="61FB858F" w14:textId="4EFCEC23" w:rsidR="006B354F" w:rsidRPr="006B354F" w:rsidRDefault="006B354F" w:rsidP="006B354F">
      <w:pPr>
        <w:spacing w:line="276" w:lineRule="auto"/>
        <w:ind w:firstLine="709"/>
        <w:rPr>
          <w:rFonts w:cs="Times New Roman"/>
          <w:color w:val="000000"/>
          <w:szCs w:val="24"/>
        </w:rPr>
      </w:pPr>
      <w:r w:rsidRPr="006B354F">
        <w:rPr>
          <w:rFonts w:cs="Times New Roman"/>
          <w:color w:val="000000"/>
          <w:szCs w:val="24"/>
        </w:rPr>
        <w:t>Data is collected through questionnaires submitted directly and through Google Forms sent via WhatsApp (WA). A questionnaire is an effective data collection technique used when the variables to be measured have been determined by the researcher as well as the expectations of the respondents. Each respondent's answer was measured using a </w:t>
      </w:r>
      <w:r w:rsidRPr="006B354F">
        <w:rPr>
          <w:rFonts w:cs="Times New Roman"/>
          <w:i/>
          <w:iCs/>
          <w:color w:val="000000"/>
          <w:szCs w:val="24"/>
        </w:rPr>
        <w:t>Likert</w:t>
      </w:r>
      <w:r w:rsidRPr="006B354F">
        <w:rPr>
          <w:rFonts w:cs="Times New Roman"/>
          <w:color w:val="000000"/>
          <w:szCs w:val="24"/>
        </w:rPr>
        <w:t> scale (Sugiyono, 2012), with five answer choices: SS (</w:t>
      </w:r>
      <w:r w:rsidRPr="006B354F">
        <w:rPr>
          <w:rFonts w:cs="Times New Roman"/>
          <w:i/>
          <w:iCs/>
          <w:color w:val="000000"/>
          <w:szCs w:val="24"/>
        </w:rPr>
        <w:t>Strongly Agree</w:t>
      </w:r>
      <w:r w:rsidRPr="006B354F">
        <w:rPr>
          <w:rFonts w:cs="Times New Roman"/>
          <w:color w:val="000000"/>
          <w:szCs w:val="24"/>
        </w:rPr>
        <w:t>) was given a score of 5, S (</w:t>
      </w:r>
      <w:r w:rsidRPr="006B354F">
        <w:rPr>
          <w:rFonts w:cs="Times New Roman"/>
          <w:i/>
          <w:iCs/>
          <w:color w:val="000000"/>
          <w:szCs w:val="24"/>
        </w:rPr>
        <w:t>Agree</w:t>
      </w:r>
      <w:r w:rsidRPr="006B354F">
        <w:rPr>
          <w:rFonts w:cs="Times New Roman"/>
          <w:color w:val="000000"/>
          <w:szCs w:val="24"/>
        </w:rPr>
        <w:t>) was given a value of 4, KS (</w:t>
      </w:r>
      <w:r w:rsidRPr="006B354F">
        <w:rPr>
          <w:rFonts w:cs="Times New Roman"/>
          <w:i/>
          <w:iCs/>
          <w:color w:val="000000"/>
          <w:szCs w:val="24"/>
        </w:rPr>
        <w:t>Neutral</w:t>
      </w:r>
      <w:r w:rsidRPr="006B354F">
        <w:rPr>
          <w:rFonts w:cs="Times New Roman"/>
          <w:color w:val="000000"/>
          <w:szCs w:val="24"/>
        </w:rPr>
        <w:t>) was valued at 3, TS (</w:t>
      </w:r>
      <w:r w:rsidRPr="006B354F">
        <w:rPr>
          <w:rFonts w:cs="Times New Roman"/>
          <w:i/>
          <w:iCs/>
          <w:color w:val="000000"/>
          <w:szCs w:val="24"/>
        </w:rPr>
        <w:t>Disagree</w:t>
      </w:r>
      <w:r w:rsidRPr="006B354F">
        <w:rPr>
          <w:rFonts w:cs="Times New Roman"/>
          <w:color w:val="000000"/>
          <w:szCs w:val="24"/>
        </w:rPr>
        <w:t>) was valued at 2, and STS (</w:t>
      </w:r>
      <w:r w:rsidRPr="006B354F">
        <w:rPr>
          <w:rFonts w:cs="Times New Roman"/>
          <w:i/>
          <w:iCs/>
          <w:color w:val="000000"/>
          <w:szCs w:val="24"/>
        </w:rPr>
        <w:t>Strongly Disagree</w:t>
      </w:r>
      <w:r w:rsidRPr="006B354F">
        <w:rPr>
          <w:rFonts w:cs="Times New Roman"/>
          <w:color w:val="000000"/>
          <w:szCs w:val="24"/>
        </w:rPr>
        <w:t>) was valued at 1.</w:t>
      </w:r>
    </w:p>
    <w:p w14:paraId="4BF9A43C" w14:textId="77777777" w:rsidR="006B354F" w:rsidRPr="001B0B69" w:rsidRDefault="006B354F" w:rsidP="006B354F">
      <w:pPr>
        <w:spacing w:line="276" w:lineRule="auto"/>
        <w:rPr>
          <w:rFonts w:cs="Times New Roman"/>
          <w:color w:val="000000"/>
          <w:szCs w:val="24"/>
        </w:rPr>
      </w:pPr>
      <w:r w:rsidRPr="006B354F">
        <w:rPr>
          <w:rFonts w:cs="Times New Roman"/>
          <w:b/>
          <w:bCs/>
          <w:color w:val="000000"/>
          <w:szCs w:val="24"/>
        </w:rPr>
        <w:t>Data Analysis Techniques</w:t>
      </w:r>
    </w:p>
    <w:p w14:paraId="093FB411" w14:textId="225C5A1C" w:rsidR="006B354F" w:rsidRPr="006B354F" w:rsidRDefault="006B354F" w:rsidP="006B354F">
      <w:pPr>
        <w:spacing w:line="276" w:lineRule="auto"/>
        <w:ind w:firstLine="720"/>
        <w:rPr>
          <w:rFonts w:cs="Times New Roman"/>
          <w:color w:val="000000"/>
          <w:szCs w:val="24"/>
        </w:rPr>
      </w:pPr>
      <w:r w:rsidRPr="006B354F">
        <w:rPr>
          <w:rFonts w:cs="Times New Roman"/>
          <w:color w:val="000000"/>
          <w:szCs w:val="24"/>
        </w:rPr>
        <w:t>Data analysis is the process of processing data that has been obtained to produce relevant information using formulas or rules that are in line with the research approach (Sekaran, 2000:175). Data analysis aims to obtain relevant information and utilize the results in solving a problem (Imam Ghozali, 2016). The data of this study will be analyzed using the Statistical Package for Social Science 25 (</w:t>
      </w:r>
      <w:r w:rsidRPr="006B354F">
        <w:rPr>
          <w:rFonts w:cs="Times New Roman"/>
          <w:i/>
          <w:iCs/>
          <w:color w:val="000000"/>
          <w:szCs w:val="24"/>
        </w:rPr>
        <w:t>SPSS 25</w:t>
      </w:r>
      <w:r w:rsidRPr="006B354F">
        <w:rPr>
          <w:rFonts w:cs="Times New Roman"/>
          <w:color w:val="000000"/>
          <w:szCs w:val="24"/>
        </w:rPr>
        <w:t>) analysis tool.</w:t>
      </w:r>
    </w:p>
    <w:p w14:paraId="39CB457A" w14:textId="77777777" w:rsidR="008551FA" w:rsidRPr="001B0B69" w:rsidRDefault="008551FA" w:rsidP="008551FA">
      <w:pPr>
        <w:spacing w:line="276" w:lineRule="auto"/>
        <w:ind w:firstLine="709"/>
        <w:rPr>
          <w:rFonts w:cs="Times New Roman"/>
          <w:b/>
          <w:bCs/>
          <w:color w:val="222A35" w:themeColor="text2" w:themeShade="80"/>
          <w:szCs w:val="24"/>
        </w:rPr>
      </w:pPr>
    </w:p>
    <w:p w14:paraId="2AB8950E" w14:textId="77777777" w:rsidR="009B1CA9" w:rsidRPr="001B0B69" w:rsidRDefault="009B1CA9" w:rsidP="00713C3C">
      <w:pPr>
        <w:spacing w:line="276" w:lineRule="auto"/>
        <w:jc w:val="center"/>
        <w:rPr>
          <w:b/>
          <w:bCs/>
          <w:color w:val="1F3864" w:themeColor="accent1" w:themeShade="80"/>
        </w:rPr>
      </w:pPr>
      <w:r w:rsidRPr="001B0B69">
        <w:rPr>
          <w:b/>
          <w:bCs/>
          <w:color w:val="1F3864" w:themeColor="accent1" w:themeShade="80"/>
        </w:rPr>
        <w:t>RESULTS AND DISCUSSION</w:t>
      </w:r>
    </w:p>
    <w:p w14:paraId="63342639" w14:textId="21A47B6B" w:rsidR="00807A8E" w:rsidRPr="001B0B69" w:rsidRDefault="00807A8E" w:rsidP="00003EAB">
      <w:pPr>
        <w:spacing w:line="276" w:lineRule="auto"/>
        <w:rPr>
          <w:b/>
          <w:bCs/>
          <w:color w:val="000000" w:themeColor="text1"/>
        </w:rPr>
      </w:pPr>
      <w:r w:rsidRPr="001B0B69">
        <w:rPr>
          <w:b/>
          <w:bCs/>
          <w:color w:val="000000" w:themeColor="text1"/>
        </w:rPr>
        <w:t>Validity and Reliability Test</w:t>
      </w:r>
    </w:p>
    <w:p w14:paraId="62AB41C1" w14:textId="3E1F881F" w:rsidR="00807A8E" w:rsidRPr="001B0B69" w:rsidRDefault="00807A8E" w:rsidP="006E796F">
      <w:pPr>
        <w:spacing w:line="276" w:lineRule="auto"/>
        <w:ind w:firstLine="709"/>
        <w:rPr>
          <w:b/>
          <w:bCs/>
          <w:i/>
          <w:iCs/>
          <w:color w:val="000000" w:themeColor="text1"/>
        </w:rPr>
      </w:pPr>
      <w:r w:rsidRPr="001B0B69">
        <w:rPr>
          <w:b/>
          <w:bCs/>
          <w:i/>
          <w:iCs/>
          <w:color w:val="000000" w:themeColor="text1"/>
        </w:rPr>
        <w:t>Validity Test</w:t>
      </w:r>
    </w:p>
    <w:p w14:paraId="02D1A9D8" w14:textId="406D83E8" w:rsidR="006B354F" w:rsidRPr="001B0B69" w:rsidRDefault="00807A8E" w:rsidP="006B354F">
      <w:pPr>
        <w:spacing w:line="276" w:lineRule="auto"/>
        <w:ind w:firstLine="709"/>
        <w:rPr>
          <w:color w:val="000000" w:themeColor="text1"/>
        </w:rPr>
      </w:pPr>
      <w:r w:rsidRPr="001B0B69">
        <w:rPr>
          <w:color w:val="000000" w:themeColor="text1"/>
        </w:rPr>
        <w:t>The Validity Test is used to measure the validity or validity of a questionnaire. A questionnaire is said to be valid, if the questions on the questionnaire are able to reveal something that the questionnaire will measure. This study conducted a validity test using person correlation. The validity test in this study used Statistical Product and Service Solutions 25. An instance is declared valid if the value of the correlation coefficient r is greater than the value of the table r at a significance level of 5%. The R value of the table in this study is 0.344 at a significance level of 5%.</w:t>
      </w:r>
    </w:p>
    <w:p w14:paraId="3ABB40F8" w14:textId="77777777" w:rsidR="006B354F" w:rsidRPr="001B0B69" w:rsidRDefault="006B354F" w:rsidP="006B354F">
      <w:pPr>
        <w:spacing w:line="276" w:lineRule="auto"/>
        <w:ind w:firstLine="709"/>
        <w:rPr>
          <w:color w:val="000000" w:themeColor="text1"/>
        </w:rPr>
      </w:pPr>
    </w:p>
    <w:p w14:paraId="04F04F8B" w14:textId="77777777" w:rsidR="006B354F" w:rsidRPr="001B0B69" w:rsidRDefault="006B354F" w:rsidP="006B354F">
      <w:pPr>
        <w:spacing w:line="276" w:lineRule="auto"/>
        <w:ind w:firstLine="709"/>
        <w:rPr>
          <w:color w:val="000000" w:themeColor="text1"/>
        </w:rPr>
      </w:pPr>
    </w:p>
    <w:p w14:paraId="2A69C16B" w14:textId="147A0F40" w:rsidR="00CB4474" w:rsidRPr="001B0B69" w:rsidRDefault="00807A8E" w:rsidP="00003EAB">
      <w:pPr>
        <w:spacing w:line="276" w:lineRule="auto"/>
        <w:jc w:val="center"/>
        <w:rPr>
          <w:color w:val="000000" w:themeColor="text1"/>
        </w:rPr>
      </w:pPr>
      <w:r w:rsidRPr="001B0B69">
        <w:rPr>
          <w:color w:val="000000" w:themeColor="text1"/>
        </w:rPr>
        <w:t xml:space="preserve">Table </w:t>
      </w:r>
      <w:r w:rsidR="006E796F" w:rsidRPr="001B0B69">
        <w:rPr>
          <w:color w:val="000000" w:themeColor="text1"/>
        </w:rPr>
        <w:t>3.</w:t>
      </w:r>
      <w:r w:rsidRPr="001B0B69">
        <w:rPr>
          <w:color w:val="000000" w:themeColor="text1"/>
        </w:rPr>
        <w:t xml:space="preserve"> R Calculation and R Table</w:t>
      </w:r>
    </w:p>
    <w:tbl>
      <w:tblPr>
        <w:tblW w:w="738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701"/>
        <w:gridCol w:w="1428"/>
        <w:gridCol w:w="1417"/>
        <w:gridCol w:w="1276"/>
        <w:gridCol w:w="1559"/>
      </w:tblGrid>
      <w:tr w:rsidR="00807A8E" w:rsidRPr="001B0B69" w14:paraId="09D4C967" w14:textId="77777777" w:rsidTr="001B5F36">
        <w:trPr>
          <w:trHeight w:val="276"/>
          <w:jc w:val="center"/>
        </w:trPr>
        <w:tc>
          <w:tcPr>
            <w:tcW w:w="1701" w:type="dxa"/>
            <w:vAlign w:val="center"/>
            <w:hideMark/>
          </w:tcPr>
          <w:p w14:paraId="3CA92BDD" w14:textId="77777777" w:rsidR="00807A8E" w:rsidRPr="001B0B69" w:rsidRDefault="00807A8E" w:rsidP="00003EAB">
            <w:pPr>
              <w:pStyle w:val="BodyText"/>
              <w:jc w:val="center"/>
              <w:rPr>
                <w:b/>
                <w:sz w:val="22"/>
                <w:szCs w:val="22"/>
                <w:lang w:val="en-US"/>
              </w:rPr>
            </w:pPr>
            <w:r w:rsidRPr="001B0B69">
              <w:rPr>
                <w:b/>
                <w:sz w:val="22"/>
                <w:szCs w:val="22"/>
                <w:lang w:val="en-US"/>
              </w:rPr>
              <w:t>Variabel</w:t>
            </w:r>
          </w:p>
        </w:tc>
        <w:tc>
          <w:tcPr>
            <w:tcW w:w="1428" w:type="dxa"/>
            <w:vAlign w:val="center"/>
            <w:hideMark/>
          </w:tcPr>
          <w:p w14:paraId="4104A43D" w14:textId="77777777" w:rsidR="00807A8E" w:rsidRPr="001B0B69" w:rsidRDefault="00807A8E" w:rsidP="00003EAB">
            <w:pPr>
              <w:pStyle w:val="BodyText"/>
              <w:jc w:val="center"/>
              <w:rPr>
                <w:b/>
                <w:sz w:val="22"/>
                <w:szCs w:val="22"/>
                <w:lang w:val="en-US"/>
              </w:rPr>
            </w:pPr>
            <w:r w:rsidRPr="001B0B69">
              <w:rPr>
                <w:b/>
                <w:sz w:val="22"/>
                <w:szCs w:val="22"/>
                <w:lang w:val="en-US"/>
              </w:rPr>
              <w:t>Statement</w:t>
            </w:r>
          </w:p>
        </w:tc>
        <w:tc>
          <w:tcPr>
            <w:tcW w:w="1417" w:type="dxa"/>
            <w:vAlign w:val="center"/>
            <w:hideMark/>
          </w:tcPr>
          <w:p w14:paraId="6A1D81AA" w14:textId="77777777" w:rsidR="00807A8E" w:rsidRPr="001B0B69" w:rsidRDefault="00807A8E" w:rsidP="00003EAB">
            <w:pPr>
              <w:pStyle w:val="BodyText"/>
              <w:jc w:val="center"/>
              <w:rPr>
                <w:b/>
                <w:sz w:val="22"/>
                <w:szCs w:val="22"/>
                <w:lang w:val="en-US"/>
              </w:rPr>
            </w:pPr>
            <w:r w:rsidRPr="001B0B69">
              <w:rPr>
                <w:b/>
                <w:sz w:val="22"/>
                <w:szCs w:val="22"/>
                <w:lang w:val="en-US"/>
              </w:rPr>
              <w:t>R count</w:t>
            </w:r>
          </w:p>
        </w:tc>
        <w:tc>
          <w:tcPr>
            <w:tcW w:w="1276" w:type="dxa"/>
            <w:vAlign w:val="center"/>
            <w:hideMark/>
          </w:tcPr>
          <w:p w14:paraId="090437DE" w14:textId="77777777" w:rsidR="00807A8E" w:rsidRPr="001B0B69" w:rsidRDefault="00807A8E" w:rsidP="00003EAB">
            <w:pPr>
              <w:pStyle w:val="BodyText"/>
              <w:jc w:val="center"/>
              <w:rPr>
                <w:b/>
                <w:sz w:val="22"/>
                <w:szCs w:val="22"/>
                <w:lang w:val="en-US"/>
              </w:rPr>
            </w:pPr>
            <w:r w:rsidRPr="001B0B69">
              <w:rPr>
                <w:b/>
                <w:sz w:val="22"/>
                <w:szCs w:val="22"/>
                <w:lang w:val="en-US"/>
              </w:rPr>
              <w:t>R table</w:t>
            </w:r>
          </w:p>
        </w:tc>
        <w:tc>
          <w:tcPr>
            <w:tcW w:w="1559" w:type="dxa"/>
            <w:vAlign w:val="center"/>
            <w:hideMark/>
          </w:tcPr>
          <w:p w14:paraId="01E002B7" w14:textId="77777777" w:rsidR="00807A8E" w:rsidRPr="001B0B69" w:rsidRDefault="00807A8E" w:rsidP="00003EAB">
            <w:pPr>
              <w:pStyle w:val="BodyText"/>
              <w:jc w:val="center"/>
              <w:rPr>
                <w:b/>
                <w:sz w:val="22"/>
                <w:szCs w:val="22"/>
                <w:lang w:val="en-US"/>
              </w:rPr>
            </w:pPr>
            <w:r w:rsidRPr="001B0B69">
              <w:rPr>
                <w:b/>
                <w:sz w:val="22"/>
                <w:szCs w:val="22"/>
                <w:lang w:val="en-US"/>
              </w:rPr>
              <w:t>Information</w:t>
            </w:r>
          </w:p>
        </w:tc>
      </w:tr>
      <w:tr w:rsidR="00807A8E" w:rsidRPr="001B0B69" w14:paraId="6AE40C52" w14:textId="77777777" w:rsidTr="001B5F36">
        <w:trPr>
          <w:trHeight w:val="275"/>
          <w:jc w:val="center"/>
        </w:trPr>
        <w:tc>
          <w:tcPr>
            <w:tcW w:w="1701" w:type="dxa"/>
            <w:vMerge w:val="restart"/>
            <w:vAlign w:val="center"/>
          </w:tcPr>
          <w:p w14:paraId="433F1A42" w14:textId="77777777" w:rsidR="00807A8E" w:rsidRPr="001B0B69" w:rsidRDefault="00807A8E" w:rsidP="00003EAB">
            <w:pPr>
              <w:pStyle w:val="BodyText"/>
              <w:jc w:val="center"/>
              <w:rPr>
                <w:sz w:val="22"/>
                <w:szCs w:val="22"/>
                <w:lang w:val="en-US"/>
              </w:rPr>
            </w:pPr>
            <w:r w:rsidRPr="001B0B69">
              <w:rPr>
                <w:sz w:val="22"/>
                <w:szCs w:val="22"/>
                <w:lang w:val="en-US"/>
              </w:rPr>
              <w:t xml:space="preserve">Managerial </w:t>
            </w:r>
            <w:r w:rsidRPr="001B0B69">
              <w:rPr>
                <w:sz w:val="22"/>
                <w:szCs w:val="22"/>
                <w:lang w:val="en-US"/>
              </w:rPr>
              <w:lastRenderedPageBreak/>
              <w:t>Performance (Y)</w:t>
            </w:r>
          </w:p>
        </w:tc>
        <w:tc>
          <w:tcPr>
            <w:tcW w:w="1428" w:type="dxa"/>
            <w:vAlign w:val="center"/>
            <w:hideMark/>
          </w:tcPr>
          <w:p w14:paraId="66DF3C64" w14:textId="77777777" w:rsidR="00807A8E" w:rsidRPr="001B0B69" w:rsidRDefault="00807A8E" w:rsidP="00003EAB">
            <w:pPr>
              <w:pStyle w:val="BodyText"/>
              <w:jc w:val="center"/>
              <w:rPr>
                <w:sz w:val="22"/>
                <w:szCs w:val="22"/>
                <w:lang w:val="en-US"/>
              </w:rPr>
            </w:pPr>
            <w:r w:rsidRPr="001B0B69">
              <w:rPr>
                <w:sz w:val="22"/>
                <w:szCs w:val="22"/>
                <w:lang w:val="en-US"/>
              </w:rPr>
              <w:lastRenderedPageBreak/>
              <w:t>Y.1</w:t>
            </w:r>
          </w:p>
        </w:tc>
        <w:tc>
          <w:tcPr>
            <w:tcW w:w="1417" w:type="dxa"/>
            <w:vAlign w:val="center"/>
            <w:hideMark/>
          </w:tcPr>
          <w:p w14:paraId="1D1CC4DD" w14:textId="77777777" w:rsidR="00807A8E" w:rsidRPr="001B0B69" w:rsidRDefault="00807A8E" w:rsidP="00003EAB">
            <w:pPr>
              <w:pStyle w:val="BodyText"/>
              <w:jc w:val="center"/>
              <w:rPr>
                <w:sz w:val="22"/>
                <w:szCs w:val="22"/>
                <w:lang w:val="en-US"/>
              </w:rPr>
            </w:pPr>
            <w:r w:rsidRPr="001B0B69">
              <w:rPr>
                <w:sz w:val="22"/>
                <w:szCs w:val="22"/>
                <w:lang w:val="en-US"/>
              </w:rPr>
              <w:t>0,875</w:t>
            </w:r>
          </w:p>
        </w:tc>
        <w:tc>
          <w:tcPr>
            <w:tcW w:w="1276" w:type="dxa"/>
            <w:vAlign w:val="center"/>
            <w:hideMark/>
          </w:tcPr>
          <w:p w14:paraId="73B9016A"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1B782304"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54D15E4E" w14:textId="77777777" w:rsidTr="001B5F36">
        <w:trPr>
          <w:trHeight w:val="276"/>
          <w:jc w:val="center"/>
        </w:trPr>
        <w:tc>
          <w:tcPr>
            <w:tcW w:w="1701" w:type="dxa"/>
            <w:vMerge/>
            <w:vAlign w:val="center"/>
            <w:hideMark/>
          </w:tcPr>
          <w:p w14:paraId="49B984A6" w14:textId="77777777" w:rsidR="00807A8E" w:rsidRPr="001B0B69" w:rsidRDefault="00807A8E" w:rsidP="00003EAB">
            <w:pPr>
              <w:pStyle w:val="BodyText"/>
              <w:jc w:val="center"/>
              <w:rPr>
                <w:sz w:val="22"/>
                <w:szCs w:val="22"/>
                <w:lang w:val="en-US"/>
              </w:rPr>
            </w:pPr>
          </w:p>
        </w:tc>
        <w:tc>
          <w:tcPr>
            <w:tcW w:w="1428" w:type="dxa"/>
            <w:vAlign w:val="center"/>
            <w:hideMark/>
          </w:tcPr>
          <w:p w14:paraId="6D22ACA5" w14:textId="77777777" w:rsidR="00807A8E" w:rsidRPr="001B0B69" w:rsidRDefault="00807A8E" w:rsidP="00003EAB">
            <w:pPr>
              <w:pStyle w:val="BodyText"/>
              <w:jc w:val="center"/>
              <w:rPr>
                <w:sz w:val="22"/>
                <w:szCs w:val="22"/>
                <w:lang w:val="en-US"/>
              </w:rPr>
            </w:pPr>
            <w:r w:rsidRPr="001B0B69">
              <w:rPr>
                <w:sz w:val="22"/>
                <w:szCs w:val="22"/>
                <w:lang w:val="en-US"/>
              </w:rPr>
              <w:t>Y.2</w:t>
            </w:r>
          </w:p>
        </w:tc>
        <w:tc>
          <w:tcPr>
            <w:tcW w:w="1417" w:type="dxa"/>
            <w:vAlign w:val="center"/>
            <w:hideMark/>
          </w:tcPr>
          <w:p w14:paraId="664615B3" w14:textId="77777777" w:rsidR="00807A8E" w:rsidRPr="001B0B69" w:rsidRDefault="00807A8E" w:rsidP="00003EAB">
            <w:pPr>
              <w:pStyle w:val="BodyText"/>
              <w:jc w:val="center"/>
              <w:rPr>
                <w:sz w:val="22"/>
                <w:szCs w:val="22"/>
                <w:lang w:val="en-US"/>
              </w:rPr>
            </w:pPr>
            <w:r w:rsidRPr="001B0B69">
              <w:rPr>
                <w:sz w:val="22"/>
                <w:szCs w:val="22"/>
                <w:lang w:val="en-US"/>
              </w:rPr>
              <w:t>0,647</w:t>
            </w:r>
          </w:p>
        </w:tc>
        <w:tc>
          <w:tcPr>
            <w:tcW w:w="1276" w:type="dxa"/>
            <w:vAlign w:val="center"/>
            <w:hideMark/>
          </w:tcPr>
          <w:p w14:paraId="29BB5343"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12760603"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0824FEB1" w14:textId="77777777" w:rsidTr="001B5F36">
        <w:trPr>
          <w:trHeight w:val="275"/>
          <w:jc w:val="center"/>
        </w:trPr>
        <w:tc>
          <w:tcPr>
            <w:tcW w:w="1701" w:type="dxa"/>
            <w:vMerge/>
            <w:vAlign w:val="center"/>
            <w:hideMark/>
          </w:tcPr>
          <w:p w14:paraId="7F1BBF88" w14:textId="77777777" w:rsidR="00807A8E" w:rsidRPr="001B0B69" w:rsidRDefault="00807A8E" w:rsidP="00003EAB">
            <w:pPr>
              <w:pStyle w:val="BodyText"/>
              <w:jc w:val="center"/>
              <w:rPr>
                <w:sz w:val="22"/>
                <w:szCs w:val="22"/>
                <w:lang w:val="en-US"/>
              </w:rPr>
            </w:pPr>
          </w:p>
        </w:tc>
        <w:tc>
          <w:tcPr>
            <w:tcW w:w="1428" w:type="dxa"/>
            <w:vAlign w:val="center"/>
            <w:hideMark/>
          </w:tcPr>
          <w:p w14:paraId="668FC581" w14:textId="77777777" w:rsidR="00807A8E" w:rsidRPr="001B0B69" w:rsidRDefault="00807A8E" w:rsidP="00003EAB">
            <w:pPr>
              <w:pStyle w:val="BodyText"/>
              <w:jc w:val="center"/>
              <w:rPr>
                <w:sz w:val="22"/>
                <w:szCs w:val="22"/>
                <w:lang w:val="en-US"/>
              </w:rPr>
            </w:pPr>
            <w:r w:rsidRPr="001B0B69">
              <w:rPr>
                <w:sz w:val="22"/>
                <w:szCs w:val="22"/>
                <w:lang w:val="en-US"/>
              </w:rPr>
              <w:t>Y.3</w:t>
            </w:r>
          </w:p>
        </w:tc>
        <w:tc>
          <w:tcPr>
            <w:tcW w:w="1417" w:type="dxa"/>
            <w:vAlign w:val="center"/>
            <w:hideMark/>
          </w:tcPr>
          <w:p w14:paraId="3498E4DE" w14:textId="77777777" w:rsidR="00807A8E" w:rsidRPr="001B0B69" w:rsidRDefault="00807A8E" w:rsidP="00003EAB">
            <w:pPr>
              <w:pStyle w:val="BodyText"/>
              <w:jc w:val="center"/>
              <w:rPr>
                <w:sz w:val="22"/>
                <w:szCs w:val="22"/>
                <w:lang w:val="en-US"/>
              </w:rPr>
            </w:pPr>
            <w:r w:rsidRPr="001B0B69">
              <w:rPr>
                <w:sz w:val="22"/>
                <w:szCs w:val="22"/>
                <w:lang w:val="en-US"/>
              </w:rPr>
              <w:t>0,749</w:t>
            </w:r>
          </w:p>
        </w:tc>
        <w:tc>
          <w:tcPr>
            <w:tcW w:w="1276" w:type="dxa"/>
            <w:vAlign w:val="center"/>
            <w:hideMark/>
          </w:tcPr>
          <w:p w14:paraId="6890EDEA"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1B041EF9"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2394538A" w14:textId="77777777" w:rsidTr="001B5F36">
        <w:trPr>
          <w:trHeight w:val="275"/>
          <w:jc w:val="center"/>
        </w:trPr>
        <w:tc>
          <w:tcPr>
            <w:tcW w:w="1701" w:type="dxa"/>
            <w:vMerge/>
            <w:vAlign w:val="center"/>
            <w:hideMark/>
          </w:tcPr>
          <w:p w14:paraId="0E4B83AD" w14:textId="77777777" w:rsidR="00807A8E" w:rsidRPr="001B0B69" w:rsidRDefault="00807A8E" w:rsidP="00003EAB">
            <w:pPr>
              <w:pStyle w:val="BodyText"/>
              <w:jc w:val="center"/>
              <w:rPr>
                <w:sz w:val="22"/>
                <w:szCs w:val="22"/>
                <w:lang w:val="en-US"/>
              </w:rPr>
            </w:pPr>
          </w:p>
        </w:tc>
        <w:tc>
          <w:tcPr>
            <w:tcW w:w="1428" w:type="dxa"/>
            <w:vAlign w:val="center"/>
            <w:hideMark/>
          </w:tcPr>
          <w:p w14:paraId="0207403E" w14:textId="77777777" w:rsidR="00807A8E" w:rsidRPr="001B0B69" w:rsidRDefault="00807A8E" w:rsidP="00003EAB">
            <w:pPr>
              <w:pStyle w:val="BodyText"/>
              <w:jc w:val="center"/>
              <w:rPr>
                <w:sz w:val="22"/>
                <w:szCs w:val="22"/>
                <w:lang w:val="en-US"/>
              </w:rPr>
            </w:pPr>
            <w:r w:rsidRPr="001B0B69">
              <w:rPr>
                <w:sz w:val="22"/>
                <w:szCs w:val="22"/>
                <w:lang w:val="en-US"/>
              </w:rPr>
              <w:t>Y.4</w:t>
            </w:r>
          </w:p>
        </w:tc>
        <w:tc>
          <w:tcPr>
            <w:tcW w:w="1417" w:type="dxa"/>
            <w:vAlign w:val="center"/>
            <w:hideMark/>
          </w:tcPr>
          <w:p w14:paraId="6B384D6F" w14:textId="77777777" w:rsidR="00807A8E" w:rsidRPr="001B0B69" w:rsidRDefault="00807A8E" w:rsidP="00003EAB">
            <w:pPr>
              <w:pStyle w:val="BodyText"/>
              <w:jc w:val="center"/>
              <w:rPr>
                <w:sz w:val="22"/>
                <w:szCs w:val="22"/>
                <w:lang w:val="en-US"/>
              </w:rPr>
            </w:pPr>
            <w:r w:rsidRPr="001B0B69">
              <w:rPr>
                <w:sz w:val="22"/>
                <w:szCs w:val="22"/>
                <w:lang w:val="en-US"/>
              </w:rPr>
              <w:t>0,639</w:t>
            </w:r>
          </w:p>
        </w:tc>
        <w:tc>
          <w:tcPr>
            <w:tcW w:w="1276" w:type="dxa"/>
            <w:vAlign w:val="center"/>
            <w:hideMark/>
          </w:tcPr>
          <w:p w14:paraId="69FF7D08"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096C876F"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411F30EE" w14:textId="77777777" w:rsidTr="001B5F36">
        <w:trPr>
          <w:trHeight w:val="276"/>
          <w:jc w:val="center"/>
        </w:trPr>
        <w:tc>
          <w:tcPr>
            <w:tcW w:w="1701" w:type="dxa"/>
            <w:vMerge/>
            <w:vAlign w:val="center"/>
            <w:hideMark/>
          </w:tcPr>
          <w:p w14:paraId="0C55A10A" w14:textId="77777777" w:rsidR="00807A8E" w:rsidRPr="001B0B69" w:rsidRDefault="00807A8E" w:rsidP="00003EAB">
            <w:pPr>
              <w:pStyle w:val="BodyText"/>
              <w:jc w:val="center"/>
              <w:rPr>
                <w:sz w:val="22"/>
                <w:szCs w:val="22"/>
                <w:lang w:val="en-US"/>
              </w:rPr>
            </w:pPr>
          </w:p>
        </w:tc>
        <w:tc>
          <w:tcPr>
            <w:tcW w:w="1428" w:type="dxa"/>
            <w:vAlign w:val="center"/>
            <w:hideMark/>
          </w:tcPr>
          <w:p w14:paraId="4C0FB02F" w14:textId="77777777" w:rsidR="00807A8E" w:rsidRPr="001B0B69" w:rsidRDefault="00807A8E" w:rsidP="00003EAB">
            <w:pPr>
              <w:pStyle w:val="BodyText"/>
              <w:jc w:val="center"/>
              <w:rPr>
                <w:sz w:val="22"/>
                <w:szCs w:val="22"/>
                <w:lang w:val="en-US"/>
              </w:rPr>
            </w:pPr>
            <w:r w:rsidRPr="001B0B69">
              <w:rPr>
                <w:sz w:val="22"/>
                <w:szCs w:val="22"/>
                <w:lang w:val="en-US"/>
              </w:rPr>
              <w:t>Y.5</w:t>
            </w:r>
          </w:p>
        </w:tc>
        <w:tc>
          <w:tcPr>
            <w:tcW w:w="1417" w:type="dxa"/>
            <w:vAlign w:val="center"/>
            <w:hideMark/>
          </w:tcPr>
          <w:p w14:paraId="10E6D3B8" w14:textId="77777777" w:rsidR="00807A8E" w:rsidRPr="001B0B69" w:rsidRDefault="00807A8E" w:rsidP="00003EAB">
            <w:pPr>
              <w:pStyle w:val="BodyText"/>
              <w:jc w:val="center"/>
              <w:rPr>
                <w:sz w:val="22"/>
                <w:szCs w:val="22"/>
                <w:lang w:val="en-US"/>
              </w:rPr>
            </w:pPr>
            <w:r w:rsidRPr="001B0B69">
              <w:rPr>
                <w:sz w:val="22"/>
                <w:szCs w:val="22"/>
                <w:lang w:val="en-US"/>
              </w:rPr>
              <w:t>0,662</w:t>
            </w:r>
          </w:p>
        </w:tc>
        <w:tc>
          <w:tcPr>
            <w:tcW w:w="1276" w:type="dxa"/>
            <w:vAlign w:val="center"/>
            <w:hideMark/>
          </w:tcPr>
          <w:p w14:paraId="0254E8C1"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0E71DC5A"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01B2C69D" w14:textId="77777777" w:rsidTr="001B5F36">
        <w:trPr>
          <w:trHeight w:val="275"/>
          <w:jc w:val="center"/>
        </w:trPr>
        <w:tc>
          <w:tcPr>
            <w:tcW w:w="1701" w:type="dxa"/>
            <w:vMerge/>
            <w:vAlign w:val="center"/>
            <w:hideMark/>
          </w:tcPr>
          <w:p w14:paraId="64A4E8D6" w14:textId="77777777" w:rsidR="00807A8E" w:rsidRPr="001B0B69" w:rsidRDefault="00807A8E" w:rsidP="00003EAB">
            <w:pPr>
              <w:pStyle w:val="BodyText"/>
              <w:jc w:val="center"/>
              <w:rPr>
                <w:sz w:val="22"/>
                <w:szCs w:val="22"/>
                <w:lang w:val="en-US"/>
              </w:rPr>
            </w:pPr>
          </w:p>
        </w:tc>
        <w:tc>
          <w:tcPr>
            <w:tcW w:w="1428" w:type="dxa"/>
            <w:vAlign w:val="center"/>
            <w:hideMark/>
          </w:tcPr>
          <w:p w14:paraId="2585336F" w14:textId="77777777" w:rsidR="00807A8E" w:rsidRPr="001B0B69" w:rsidRDefault="00807A8E" w:rsidP="00003EAB">
            <w:pPr>
              <w:pStyle w:val="BodyText"/>
              <w:jc w:val="center"/>
              <w:rPr>
                <w:sz w:val="22"/>
                <w:szCs w:val="22"/>
                <w:lang w:val="en-US"/>
              </w:rPr>
            </w:pPr>
            <w:r w:rsidRPr="001B0B69">
              <w:rPr>
                <w:sz w:val="22"/>
                <w:szCs w:val="22"/>
                <w:lang w:val="en-US"/>
              </w:rPr>
              <w:t>Y.6</w:t>
            </w:r>
          </w:p>
        </w:tc>
        <w:tc>
          <w:tcPr>
            <w:tcW w:w="1417" w:type="dxa"/>
            <w:vAlign w:val="center"/>
            <w:hideMark/>
          </w:tcPr>
          <w:p w14:paraId="0212ED10" w14:textId="77777777" w:rsidR="00807A8E" w:rsidRPr="001B0B69" w:rsidRDefault="00807A8E" w:rsidP="00003EAB">
            <w:pPr>
              <w:pStyle w:val="BodyText"/>
              <w:jc w:val="center"/>
              <w:rPr>
                <w:sz w:val="22"/>
                <w:szCs w:val="22"/>
                <w:lang w:val="en-US"/>
              </w:rPr>
            </w:pPr>
            <w:r w:rsidRPr="001B0B69">
              <w:rPr>
                <w:sz w:val="22"/>
                <w:szCs w:val="22"/>
                <w:lang w:val="en-US"/>
              </w:rPr>
              <w:t>0,446</w:t>
            </w:r>
          </w:p>
        </w:tc>
        <w:tc>
          <w:tcPr>
            <w:tcW w:w="1276" w:type="dxa"/>
            <w:vAlign w:val="center"/>
            <w:hideMark/>
          </w:tcPr>
          <w:p w14:paraId="2B1D3A15"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1B4A051C"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13B3CD9C" w14:textId="77777777" w:rsidTr="001B5F36">
        <w:trPr>
          <w:trHeight w:val="276"/>
          <w:jc w:val="center"/>
        </w:trPr>
        <w:tc>
          <w:tcPr>
            <w:tcW w:w="1701" w:type="dxa"/>
            <w:vMerge/>
            <w:vAlign w:val="center"/>
            <w:hideMark/>
          </w:tcPr>
          <w:p w14:paraId="427A146E" w14:textId="77777777" w:rsidR="00807A8E" w:rsidRPr="001B0B69" w:rsidRDefault="00807A8E" w:rsidP="00003EAB">
            <w:pPr>
              <w:pStyle w:val="BodyText"/>
              <w:jc w:val="center"/>
              <w:rPr>
                <w:sz w:val="22"/>
                <w:szCs w:val="22"/>
                <w:lang w:val="en-US"/>
              </w:rPr>
            </w:pPr>
          </w:p>
        </w:tc>
        <w:tc>
          <w:tcPr>
            <w:tcW w:w="1428" w:type="dxa"/>
            <w:vAlign w:val="center"/>
            <w:hideMark/>
          </w:tcPr>
          <w:p w14:paraId="606E9DEC" w14:textId="77777777" w:rsidR="00807A8E" w:rsidRPr="001B0B69" w:rsidRDefault="00807A8E" w:rsidP="00003EAB">
            <w:pPr>
              <w:pStyle w:val="BodyText"/>
              <w:jc w:val="center"/>
              <w:rPr>
                <w:sz w:val="22"/>
                <w:szCs w:val="22"/>
                <w:lang w:val="en-US"/>
              </w:rPr>
            </w:pPr>
            <w:r w:rsidRPr="001B0B69">
              <w:rPr>
                <w:sz w:val="22"/>
                <w:szCs w:val="22"/>
                <w:lang w:val="en-US"/>
              </w:rPr>
              <w:t>Y.7</w:t>
            </w:r>
          </w:p>
        </w:tc>
        <w:tc>
          <w:tcPr>
            <w:tcW w:w="1417" w:type="dxa"/>
            <w:vAlign w:val="center"/>
            <w:hideMark/>
          </w:tcPr>
          <w:p w14:paraId="0EAD4F0A" w14:textId="77777777" w:rsidR="00807A8E" w:rsidRPr="001B0B69" w:rsidRDefault="00807A8E" w:rsidP="00003EAB">
            <w:pPr>
              <w:pStyle w:val="BodyText"/>
              <w:jc w:val="center"/>
              <w:rPr>
                <w:sz w:val="22"/>
                <w:szCs w:val="22"/>
                <w:lang w:val="en-US"/>
              </w:rPr>
            </w:pPr>
            <w:r w:rsidRPr="001B0B69">
              <w:rPr>
                <w:sz w:val="22"/>
                <w:szCs w:val="22"/>
                <w:lang w:val="en-US"/>
              </w:rPr>
              <w:t>0,835</w:t>
            </w:r>
          </w:p>
        </w:tc>
        <w:tc>
          <w:tcPr>
            <w:tcW w:w="1276" w:type="dxa"/>
            <w:vAlign w:val="center"/>
            <w:hideMark/>
          </w:tcPr>
          <w:p w14:paraId="29BDE01E"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744B9C30"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6600F927" w14:textId="77777777" w:rsidTr="001B5F36">
        <w:trPr>
          <w:trHeight w:val="275"/>
          <w:jc w:val="center"/>
        </w:trPr>
        <w:tc>
          <w:tcPr>
            <w:tcW w:w="1701" w:type="dxa"/>
            <w:vMerge/>
            <w:vAlign w:val="center"/>
            <w:hideMark/>
          </w:tcPr>
          <w:p w14:paraId="73E389FF" w14:textId="77777777" w:rsidR="00807A8E" w:rsidRPr="001B0B69" w:rsidRDefault="00807A8E" w:rsidP="00003EAB">
            <w:pPr>
              <w:pStyle w:val="BodyText"/>
              <w:jc w:val="center"/>
              <w:rPr>
                <w:sz w:val="22"/>
                <w:szCs w:val="22"/>
                <w:lang w:val="en-US"/>
              </w:rPr>
            </w:pPr>
          </w:p>
        </w:tc>
        <w:tc>
          <w:tcPr>
            <w:tcW w:w="1428" w:type="dxa"/>
            <w:vAlign w:val="center"/>
            <w:hideMark/>
          </w:tcPr>
          <w:p w14:paraId="7B3201E8" w14:textId="77777777" w:rsidR="00807A8E" w:rsidRPr="001B0B69" w:rsidRDefault="00807A8E" w:rsidP="00003EAB">
            <w:pPr>
              <w:pStyle w:val="BodyText"/>
              <w:jc w:val="center"/>
              <w:rPr>
                <w:sz w:val="22"/>
                <w:szCs w:val="22"/>
                <w:lang w:val="en-US"/>
              </w:rPr>
            </w:pPr>
            <w:r w:rsidRPr="001B0B69">
              <w:rPr>
                <w:sz w:val="22"/>
                <w:szCs w:val="22"/>
                <w:lang w:val="en-US"/>
              </w:rPr>
              <w:t>Y.8</w:t>
            </w:r>
          </w:p>
        </w:tc>
        <w:tc>
          <w:tcPr>
            <w:tcW w:w="1417" w:type="dxa"/>
            <w:vAlign w:val="center"/>
            <w:hideMark/>
          </w:tcPr>
          <w:p w14:paraId="48800E4D" w14:textId="77777777" w:rsidR="00807A8E" w:rsidRPr="001B0B69" w:rsidRDefault="00807A8E" w:rsidP="00003EAB">
            <w:pPr>
              <w:pStyle w:val="BodyText"/>
              <w:jc w:val="center"/>
              <w:rPr>
                <w:sz w:val="22"/>
                <w:szCs w:val="22"/>
                <w:lang w:val="en-US"/>
              </w:rPr>
            </w:pPr>
            <w:r w:rsidRPr="001B0B69">
              <w:rPr>
                <w:sz w:val="22"/>
                <w:szCs w:val="22"/>
                <w:lang w:val="en-US"/>
              </w:rPr>
              <w:t>0,769</w:t>
            </w:r>
          </w:p>
        </w:tc>
        <w:tc>
          <w:tcPr>
            <w:tcW w:w="1276" w:type="dxa"/>
            <w:vAlign w:val="center"/>
            <w:hideMark/>
          </w:tcPr>
          <w:p w14:paraId="73B184E6"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7C445F17"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4D047D9B" w14:textId="77777777" w:rsidTr="001B5F36">
        <w:trPr>
          <w:trHeight w:val="275"/>
          <w:jc w:val="center"/>
        </w:trPr>
        <w:tc>
          <w:tcPr>
            <w:tcW w:w="1701" w:type="dxa"/>
            <w:vMerge w:val="restart"/>
            <w:vAlign w:val="center"/>
            <w:hideMark/>
          </w:tcPr>
          <w:p w14:paraId="4E633A7D" w14:textId="77777777" w:rsidR="00807A8E" w:rsidRPr="001B0B69" w:rsidRDefault="00807A8E" w:rsidP="00003EAB">
            <w:pPr>
              <w:pStyle w:val="BodyText"/>
              <w:jc w:val="center"/>
              <w:rPr>
                <w:sz w:val="22"/>
                <w:szCs w:val="22"/>
                <w:lang w:val="en-US"/>
              </w:rPr>
            </w:pPr>
            <w:r w:rsidRPr="001B0B69">
              <w:rPr>
                <w:sz w:val="22"/>
                <w:szCs w:val="22"/>
                <w:lang w:val="en-US"/>
              </w:rPr>
              <w:t>Budget Participation (X1)</w:t>
            </w:r>
          </w:p>
        </w:tc>
        <w:tc>
          <w:tcPr>
            <w:tcW w:w="1428" w:type="dxa"/>
            <w:vAlign w:val="center"/>
            <w:hideMark/>
          </w:tcPr>
          <w:p w14:paraId="4FC7A7C6" w14:textId="77777777" w:rsidR="00807A8E" w:rsidRPr="001B0B69" w:rsidRDefault="00807A8E" w:rsidP="00003EAB">
            <w:pPr>
              <w:pStyle w:val="BodyText"/>
              <w:jc w:val="center"/>
              <w:rPr>
                <w:sz w:val="22"/>
                <w:szCs w:val="22"/>
                <w:lang w:val="en-US"/>
              </w:rPr>
            </w:pPr>
            <w:r w:rsidRPr="001B0B69">
              <w:rPr>
                <w:sz w:val="22"/>
                <w:szCs w:val="22"/>
                <w:lang w:val="en-US"/>
              </w:rPr>
              <w:t>X1.1</w:t>
            </w:r>
          </w:p>
        </w:tc>
        <w:tc>
          <w:tcPr>
            <w:tcW w:w="1417" w:type="dxa"/>
            <w:vAlign w:val="center"/>
            <w:hideMark/>
          </w:tcPr>
          <w:p w14:paraId="397C3304" w14:textId="77777777" w:rsidR="00807A8E" w:rsidRPr="001B0B69" w:rsidRDefault="00807A8E" w:rsidP="00003EAB">
            <w:pPr>
              <w:pStyle w:val="BodyText"/>
              <w:jc w:val="center"/>
              <w:rPr>
                <w:sz w:val="22"/>
                <w:szCs w:val="22"/>
                <w:lang w:val="en-US"/>
              </w:rPr>
            </w:pPr>
            <w:r w:rsidRPr="001B0B69">
              <w:rPr>
                <w:sz w:val="22"/>
                <w:szCs w:val="22"/>
                <w:lang w:val="en-US"/>
              </w:rPr>
              <w:t>0,754</w:t>
            </w:r>
          </w:p>
        </w:tc>
        <w:tc>
          <w:tcPr>
            <w:tcW w:w="1276" w:type="dxa"/>
            <w:vAlign w:val="center"/>
            <w:hideMark/>
          </w:tcPr>
          <w:p w14:paraId="6CBE035B"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5093B145"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34C7B328" w14:textId="77777777" w:rsidTr="001B5F36">
        <w:trPr>
          <w:trHeight w:val="276"/>
          <w:jc w:val="center"/>
        </w:trPr>
        <w:tc>
          <w:tcPr>
            <w:tcW w:w="1701" w:type="dxa"/>
            <w:vMerge/>
            <w:vAlign w:val="center"/>
            <w:hideMark/>
          </w:tcPr>
          <w:p w14:paraId="40537F78" w14:textId="77777777" w:rsidR="00807A8E" w:rsidRPr="001B0B69" w:rsidRDefault="00807A8E" w:rsidP="00003EAB">
            <w:pPr>
              <w:pStyle w:val="BodyText"/>
              <w:jc w:val="center"/>
              <w:rPr>
                <w:sz w:val="22"/>
                <w:szCs w:val="22"/>
                <w:lang w:val="en-US"/>
              </w:rPr>
            </w:pPr>
          </w:p>
        </w:tc>
        <w:tc>
          <w:tcPr>
            <w:tcW w:w="1428" w:type="dxa"/>
            <w:vAlign w:val="center"/>
            <w:hideMark/>
          </w:tcPr>
          <w:p w14:paraId="5E4E0877" w14:textId="77777777" w:rsidR="00807A8E" w:rsidRPr="001B0B69" w:rsidRDefault="00807A8E" w:rsidP="00003EAB">
            <w:pPr>
              <w:pStyle w:val="BodyText"/>
              <w:jc w:val="center"/>
              <w:rPr>
                <w:sz w:val="22"/>
                <w:szCs w:val="22"/>
                <w:lang w:val="en-US"/>
              </w:rPr>
            </w:pPr>
            <w:r w:rsidRPr="001B0B69">
              <w:rPr>
                <w:sz w:val="22"/>
                <w:szCs w:val="22"/>
                <w:lang w:val="en-US"/>
              </w:rPr>
              <w:t>X1.2</w:t>
            </w:r>
          </w:p>
        </w:tc>
        <w:tc>
          <w:tcPr>
            <w:tcW w:w="1417" w:type="dxa"/>
            <w:vAlign w:val="center"/>
            <w:hideMark/>
          </w:tcPr>
          <w:p w14:paraId="72A7B051" w14:textId="77777777" w:rsidR="00807A8E" w:rsidRPr="001B0B69" w:rsidRDefault="00807A8E" w:rsidP="00003EAB">
            <w:pPr>
              <w:pStyle w:val="BodyText"/>
              <w:jc w:val="center"/>
              <w:rPr>
                <w:sz w:val="22"/>
                <w:szCs w:val="22"/>
                <w:lang w:val="en-US"/>
              </w:rPr>
            </w:pPr>
            <w:r w:rsidRPr="001B0B69">
              <w:rPr>
                <w:sz w:val="22"/>
                <w:szCs w:val="22"/>
                <w:lang w:val="en-US"/>
              </w:rPr>
              <w:t>0,675</w:t>
            </w:r>
          </w:p>
        </w:tc>
        <w:tc>
          <w:tcPr>
            <w:tcW w:w="1276" w:type="dxa"/>
            <w:vAlign w:val="center"/>
            <w:hideMark/>
          </w:tcPr>
          <w:p w14:paraId="262413A1"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5111D93C"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7853A1AC" w14:textId="77777777" w:rsidTr="001B5F36">
        <w:trPr>
          <w:trHeight w:val="275"/>
          <w:jc w:val="center"/>
        </w:trPr>
        <w:tc>
          <w:tcPr>
            <w:tcW w:w="1701" w:type="dxa"/>
            <w:vMerge/>
            <w:vAlign w:val="center"/>
            <w:hideMark/>
          </w:tcPr>
          <w:p w14:paraId="6C30CFA2" w14:textId="77777777" w:rsidR="00807A8E" w:rsidRPr="001B0B69" w:rsidRDefault="00807A8E" w:rsidP="00003EAB">
            <w:pPr>
              <w:pStyle w:val="BodyText"/>
              <w:jc w:val="center"/>
              <w:rPr>
                <w:sz w:val="22"/>
                <w:szCs w:val="22"/>
                <w:lang w:val="en-US"/>
              </w:rPr>
            </w:pPr>
          </w:p>
        </w:tc>
        <w:tc>
          <w:tcPr>
            <w:tcW w:w="1428" w:type="dxa"/>
            <w:vAlign w:val="center"/>
            <w:hideMark/>
          </w:tcPr>
          <w:p w14:paraId="279A6C58" w14:textId="77777777" w:rsidR="00807A8E" w:rsidRPr="001B0B69" w:rsidRDefault="00807A8E" w:rsidP="00003EAB">
            <w:pPr>
              <w:pStyle w:val="BodyText"/>
              <w:jc w:val="center"/>
              <w:rPr>
                <w:sz w:val="22"/>
                <w:szCs w:val="22"/>
                <w:lang w:val="en-US"/>
              </w:rPr>
            </w:pPr>
            <w:r w:rsidRPr="001B0B69">
              <w:rPr>
                <w:sz w:val="22"/>
                <w:szCs w:val="22"/>
                <w:lang w:val="en-US"/>
              </w:rPr>
              <w:t>X1.3</w:t>
            </w:r>
          </w:p>
        </w:tc>
        <w:tc>
          <w:tcPr>
            <w:tcW w:w="1417" w:type="dxa"/>
            <w:vAlign w:val="center"/>
            <w:hideMark/>
          </w:tcPr>
          <w:p w14:paraId="6A3B346C" w14:textId="77777777" w:rsidR="00807A8E" w:rsidRPr="001B0B69" w:rsidRDefault="00807A8E" w:rsidP="00003EAB">
            <w:pPr>
              <w:pStyle w:val="BodyText"/>
              <w:jc w:val="center"/>
              <w:rPr>
                <w:sz w:val="22"/>
                <w:szCs w:val="22"/>
                <w:lang w:val="en-US"/>
              </w:rPr>
            </w:pPr>
            <w:r w:rsidRPr="001B0B69">
              <w:rPr>
                <w:sz w:val="22"/>
                <w:szCs w:val="22"/>
                <w:lang w:val="en-US"/>
              </w:rPr>
              <w:t>0,773</w:t>
            </w:r>
          </w:p>
        </w:tc>
        <w:tc>
          <w:tcPr>
            <w:tcW w:w="1276" w:type="dxa"/>
            <w:vAlign w:val="center"/>
            <w:hideMark/>
          </w:tcPr>
          <w:p w14:paraId="7C5705DF"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318938C5"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2C8AC49C" w14:textId="77777777" w:rsidTr="001B5F36">
        <w:trPr>
          <w:trHeight w:val="274"/>
          <w:jc w:val="center"/>
        </w:trPr>
        <w:tc>
          <w:tcPr>
            <w:tcW w:w="1701" w:type="dxa"/>
            <w:vMerge/>
            <w:vAlign w:val="center"/>
            <w:hideMark/>
          </w:tcPr>
          <w:p w14:paraId="3B6E47F5" w14:textId="77777777" w:rsidR="00807A8E" w:rsidRPr="001B0B69" w:rsidRDefault="00807A8E" w:rsidP="00003EAB">
            <w:pPr>
              <w:pStyle w:val="BodyText"/>
              <w:jc w:val="center"/>
              <w:rPr>
                <w:sz w:val="22"/>
                <w:szCs w:val="22"/>
                <w:lang w:val="en-US"/>
              </w:rPr>
            </w:pPr>
          </w:p>
        </w:tc>
        <w:tc>
          <w:tcPr>
            <w:tcW w:w="1428" w:type="dxa"/>
            <w:vAlign w:val="center"/>
            <w:hideMark/>
          </w:tcPr>
          <w:p w14:paraId="10CB613E" w14:textId="77777777" w:rsidR="00807A8E" w:rsidRPr="001B0B69" w:rsidRDefault="00807A8E" w:rsidP="00003EAB">
            <w:pPr>
              <w:pStyle w:val="BodyText"/>
              <w:jc w:val="center"/>
              <w:rPr>
                <w:sz w:val="22"/>
                <w:szCs w:val="22"/>
                <w:lang w:val="en-US"/>
              </w:rPr>
            </w:pPr>
            <w:r w:rsidRPr="001B0B69">
              <w:rPr>
                <w:sz w:val="22"/>
                <w:szCs w:val="22"/>
                <w:lang w:val="en-US"/>
              </w:rPr>
              <w:t>X1.4</w:t>
            </w:r>
          </w:p>
        </w:tc>
        <w:tc>
          <w:tcPr>
            <w:tcW w:w="1417" w:type="dxa"/>
            <w:vAlign w:val="center"/>
            <w:hideMark/>
          </w:tcPr>
          <w:p w14:paraId="655E35D4" w14:textId="77777777" w:rsidR="00807A8E" w:rsidRPr="001B0B69" w:rsidRDefault="00807A8E" w:rsidP="00003EAB">
            <w:pPr>
              <w:pStyle w:val="BodyText"/>
              <w:jc w:val="center"/>
              <w:rPr>
                <w:sz w:val="22"/>
                <w:szCs w:val="22"/>
                <w:lang w:val="en-US"/>
              </w:rPr>
            </w:pPr>
            <w:r w:rsidRPr="001B0B69">
              <w:rPr>
                <w:sz w:val="22"/>
                <w:szCs w:val="22"/>
                <w:lang w:val="en-US"/>
              </w:rPr>
              <w:t>0,844</w:t>
            </w:r>
          </w:p>
        </w:tc>
        <w:tc>
          <w:tcPr>
            <w:tcW w:w="1276" w:type="dxa"/>
            <w:vAlign w:val="center"/>
            <w:hideMark/>
          </w:tcPr>
          <w:p w14:paraId="6A43E998"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4A65556B"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3EEB06DF" w14:textId="77777777" w:rsidTr="001B5F36">
        <w:trPr>
          <w:trHeight w:val="274"/>
          <w:jc w:val="center"/>
        </w:trPr>
        <w:tc>
          <w:tcPr>
            <w:tcW w:w="1701" w:type="dxa"/>
            <w:vMerge w:val="restart"/>
          </w:tcPr>
          <w:p w14:paraId="62A56D3C" w14:textId="77777777" w:rsidR="00807A8E" w:rsidRPr="001B0B69" w:rsidRDefault="00807A8E" w:rsidP="00003EAB">
            <w:pPr>
              <w:pStyle w:val="BodyText"/>
              <w:jc w:val="center"/>
              <w:rPr>
                <w:sz w:val="22"/>
                <w:szCs w:val="22"/>
                <w:lang w:val="en-US"/>
              </w:rPr>
            </w:pPr>
          </w:p>
        </w:tc>
        <w:tc>
          <w:tcPr>
            <w:tcW w:w="1428" w:type="dxa"/>
            <w:vAlign w:val="center"/>
          </w:tcPr>
          <w:p w14:paraId="7F5C8B75" w14:textId="77777777" w:rsidR="00807A8E" w:rsidRPr="001B0B69" w:rsidRDefault="00807A8E" w:rsidP="00003EAB">
            <w:pPr>
              <w:pStyle w:val="BodyText"/>
              <w:jc w:val="center"/>
              <w:rPr>
                <w:sz w:val="22"/>
                <w:szCs w:val="22"/>
                <w:lang w:val="en-US"/>
              </w:rPr>
            </w:pPr>
            <w:r w:rsidRPr="001B0B69">
              <w:rPr>
                <w:sz w:val="22"/>
                <w:szCs w:val="22"/>
                <w:lang w:val="en-US"/>
              </w:rPr>
              <w:t>X1.5</w:t>
            </w:r>
          </w:p>
        </w:tc>
        <w:tc>
          <w:tcPr>
            <w:tcW w:w="1417" w:type="dxa"/>
            <w:vAlign w:val="center"/>
          </w:tcPr>
          <w:p w14:paraId="1C5F0097" w14:textId="77777777" w:rsidR="00807A8E" w:rsidRPr="001B0B69" w:rsidRDefault="00807A8E" w:rsidP="00003EAB">
            <w:pPr>
              <w:pStyle w:val="BodyText"/>
              <w:jc w:val="center"/>
              <w:rPr>
                <w:sz w:val="22"/>
                <w:szCs w:val="22"/>
                <w:lang w:val="en-US"/>
              </w:rPr>
            </w:pPr>
            <w:r w:rsidRPr="001B0B69">
              <w:rPr>
                <w:sz w:val="22"/>
                <w:szCs w:val="22"/>
                <w:lang w:val="en-US"/>
              </w:rPr>
              <w:t>0,774</w:t>
            </w:r>
          </w:p>
        </w:tc>
        <w:tc>
          <w:tcPr>
            <w:tcW w:w="1276" w:type="dxa"/>
            <w:vAlign w:val="center"/>
          </w:tcPr>
          <w:p w14:paraId="03A668B7"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tcPr>
          <w:p w14:paraId="220BEF60"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100EAEE5" w14:textId="77777777" w:rsidTr="001B5F36">
        <w:trPr>
          <w:trHeight w:val="274"/>
          <w:jc w:val="center"/>
        </w:trPr>
        <w:tc>
          <w:tcPr>
            <w:tcW w:w="1701" w:type="dxa"/>
            <w:vMerge/>
          </w:tcPr>
          <w:p w14:paraId="59738069" w14:textId="77777777" w:rsidR="00807A8E" w:rsidRPr="001B0B69" w:rsidRDefault="00807A8E" w:rsidP="00003EAB">
            <w:pPr>
              <w:pStyle w:val="BodyText"/>
              <w:jc w:val="center"/>
              <w:rPr>
                <w:sz w:val="22"/>
                <w:szCs w:val="22"/>
                <w:lang w:val="en-US"/>
              </w:rPr>
            </w:pPr>
          </w:p>
        </w:tc>
        <w:tc>
          <w:tcPr>
            <w:tcW w:w="1428" w:type="dxa"/>
            <w:vAlign w:val="center"/>
          </w:tcPr>
          <w:p w14:paraId="3F122F76" w14:textId="77777777" w:rsidR="00807A8E" w:rsidRPr="001B0B69" w:rsidRDefault="00807A8E" w:rsidP="00003EAB">
            <w:pPr>
              <w:pStyle w:val="BodyText"/>
              <w:jc w:val="center"/>
              <w:rPr>
                <w:sz w:val="22"/>
                <w:szCs w:val="22"/>
                <w:lang w:val="en-US"/>
              </w:rPr>
            </w:pPr>
            <w:r w:rsidRPr="001B0B69">
              <w:rPr>
                <w:sz w:val="22"/>
                <w:szCs w:val="22"/>
                <w:lang w:val="en-US"/>
              </w:rPr>
              <w:t>X1.6</w:t>
            </w:r>
          </w:p>
        </w:tc>
        <w:tc>
          <w:tcPr>
            <w:tcW w:w="1417" w:type="dxa"/>
            <w:vAlign w:val="center"/>
          </w:tcPr>
          <w:p w14:paraId="37B38A40" w14:textId="77777777" w:rsidR="00807A8E" w:rsidRPr="001B0B69" w:rsidRDefault="00807A8E" w:rsidP="00003EAB">
            <w:pPr>
              <w:pStyle w:val="BodyText"/>
              <w:jc w:val="center"/>
              <w:rPr>
                <w:sz w:val="22"/>
                <w:szCs w:val="22"/>
                <w:lang w:val="en-US"/>
              </w:rPr>
            </w:pPr>
            <w:r w:rsidRPr="001B0B69">
              <w:rPr>
                <w:sz w:val="22"/>
                <w:szCs w:val="22"/>
                <w:lang w:val="en-US"/>
              </w:rPr>
              <w:t>0,832</w:t>
            </w:r>
          </w:p>
        </w:tc>
        <w:tc>
          <w:tcPr>
            <w:tcW w:w="1276" w:type="dxa"/>
            <w:vAlign w:val="center"/>
          </w:tcPr>
          <w:p w14:paraId="7DCB7E8E"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tcPr>
          <w:p w14:paraId="02C30E77"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2D7930EC" w14:textId="77777777" w:rsidTr="001B5F36">
        <w:trPr>
          <w:trHeight w:val="274"/>
          <w:jc w:val="center"/>
        </w:trPr>
        <w:tc>
          <w:tcPr>
            <w:tcW w:w="1701" w:type="dxa"/>
            <w:vMerge w:val="restart"/>
            <w:vAlign w:val="center"/>
          </w:tcPr>
          <w:p w14:paraId="1E583B7F" w14:textId="77777777" w:rsidR="00807A8E" w:rsidRPr="001B0B69" w:rsidRDefault="00807A8E" w:rsidP="00003EAB">
            <w:pPr>
              <w:pStyle w:val="BodyText"/>
              <w:jc w:val="center"/>
              <w:rPr>
                <w:sz w:val="22"/>
                <w:szCs w:val="22"/>
                <w:lang w:val="en-US"/>
              </w:rPr>
            </w:pPr>
            <w:r w:rsidRPr="001B0B69">
              <w:rPr>
                <w:sz w:val="22"/>
                <w:szCs w:val="22"/>
                <w:lang w:val="en-US"/>
              </w:rPr>
              <w:t>Motivation (X2)</w:t>
            </w:r>
          </w:p>
          <w:p w14:paraId="39EF3960" w14:textId="77777777" w:rsidR="00807A8E" w:rsidRPr="001B0B69" w:rsidRDefault="00807A8E" w:rsidP="00003EAB">
            <w:pPr>
              <w:pStyle w:val="BodyText"/>
              <w:jc w:val="center"/>
              <w:rPr>
                <w:sz w:val="22"/>
                <w:szCs w:val="22"/>
                <w:lang w:val="en-US"/>
              </w:rPr>
            </w:pPr>
          </w:p>
        </w:tc>
        <w:tc>
          <w:tcPr>
            <w:tcW w:w="1428" w:type="dxa"/>
            <w:vAlign w:val="center"/>
            <w:hideMark/>
          </w:tcPr>
          <w:p w14:paraId="2978E13B" w14:textId="77777777" w:rsidR="00807A8E" w:rsidRPr="001B0B69" w:rsidRDefault="00807A8E" w:rsidP="00003EAB">
            <w:pPr>
              <w:pStyle w:val="BodyText"/>
              <w:jc w:val="center"/>
              <w:rPr>
                <w:sz w:val="22"/>
                <w:szCs w:val="22"/>
                <w:lang w:val="en-US"/>
              </w:rPr>
            </w:pPr>
            <w:r w:rsidRPr="001B0B69">
              <w:rPr>
                <w:sz w:val="22"/>
                <w:szCs w:val="22"/>
                <w:lang w:val="en-US"/>
              </w:rPr>
              <w:t>X2.1</w:t>
            </w:r>
          </w:p>
        </w:tc>
        <w:tc>
          <w:tcPr>
            <w:tcW w:w="1417" w:type="dxa"/>
            <w:vAlign w:val="center"/>
            <w:hideMark/>
          </w:tcPr>
          <w:p w14:paraId="1D65679B" w14:textId="77777777" w:rsidR="00807A8E" w:rsidRPr="001B0B69" w:rsidRDefault="00807A8E" w:rsidP="00003EAB">
            <w:pPr>
              <w:pStyle w:val="BodyText"/>
              <w:jc w:val="center"/>
              <w:rPr>
                <w:sz w:val="22"/>
                <w:szCs w:val="22"/>
                <w:lang w:val="en-US"/>
              </w:rPr>
            </w:pPr>
            <w:r w:rsidRPr="001B0B69">
              <w:rPr>
                <w:sz w:val="22"/>
                <w:szCs w:val="22"/>
                <w:lang w:val="en-US"/>
              </w:rPr>
              <w:t>0,775</w:t>
            </w:r>
          </w:p>
        </w:tc>
        <w:tc>
          <w:tcPr>
            <w:tcW w:w="1276" w:type="dxa"/>
            <w:vAlign w:val="center"/>
            <w:hideMark/>
          </w:tcPr>
          <w:p w14:paraId="5644709C"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1AA0FF91"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5236A68B" w14:textId="77777777" w:rsidTr="001B5F36">
        <w:trPr>
          <w:trHeight w:val="274"/>
          <w:jc w:val="center"/>
        </w:trPr>
        <w:tc>
          <w:tcPr>
            <w:tcW w:w="1701" w:type="dxa"/>
            <w:vMerge/>
            <w:vAlign w:val="center"/>
            <w:hideMark/>
          </w:tcPr>
          <w:p w14:paraId="1D56A002" w14:textId="77777777" w:rsidR="00807A8E" w:rsidRPr="001B0B69" w:rsidRDefault="00807A8E" w:rsidP="00003EAB">
            <w:pPr>
              <w:pStyle w:val="BodyText"/>
              <w:jc w:val="center"/>
              <w:rPr>
                <w:sz w:val="22"/>
                <w:szCs w:val="22"/>
                <w:lang w:val="en-US"/>
              </w:rPr>
            </w:pPr>
          </w:p>
        </w:tc>
        <w:tc>
          <w:tcPr>
            <w:tcW w:w="1428" w:type="dxa"/>
            <w:vAlign w:val="center"/>
            <w:hideMark/>
          </w:tcPr>
          <w:p w14:paraId="1F453123" w14:textId="77777777" w:rsidR="00807A8E" w:rsidRPr="001B0B69" w:rsidRDefault="00807A8E" w:rsidP="00003EAB">
            <w:pPr>
              <w:pStyle w:val="BodyText"/>
              <w:jc w:val="center"/>
              <w:rPr>
                <w:sz w:val="22"/>
                <w:szCs w:val="22"/>
                <w:lang w:val="en-US"/>
              </w:rPr>
            </w:pPr>
            <w:r w:rsidRPr="001B0B69">
              <w:rPr>
                <w:sz w:val="22"/>
                <w:szCs w:val="22"/>
                <w:lang w:val="en-US"/>
              </w:rPr>
              <w:t>X2.2</w:t>
            </w:r>
          </w:p>
        </w:tc>
        <w:tc>
          <w:tcPr>
            <w:tcW w:w="1417" w:type="dxa"/>
            <w:vAlign w:val="center"/>
            <w:hideMark/>
          </w:tcPr>
          <w:p w14:paraId="3C7ADF56" w14:textId="77777777" w:rsidR="00807A8E" w:rsidRPr="001B0B69" w:rsidRDefault="00807A8E" w:rsidP="00003EAB">
            <w:pPr>
              <w:pStyle w:val="BodyText"/>
              <w:jc w:val="center"/>
              <w:rPr>
                <w:sz w:val="22"/>
                <w:szCs w:val="22"/>
                <w:lang w:val="en-US"/>
              </w:rPr>
            </w:pPr>
            <w:r w:rsidRPr="001B0B69">
              <w:rPr>
                <w:sz w:val="22"/>
                <w:szCs w:val="22"/>
                <w:lang w:val="en-US"/>
              </w:rPr>
              <w:t>0,918</w:t>
            </w:r>
          </w:p>
        </w:tc>
        <w:tc>
          <w:tcPr>
            <w:tcW w:w="1276" w:type="dxa"/>
            <w:vAlign w:val="center"/>
            <w:hideMark/>
          </w:tcPr>
          <w:p w14:paraId="50D6B4FE"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57EA4A71"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33C64F80" w14:textId="77777777" w:rsidTr="001B5F36">
        <w:trPr>
          <w:trHeight w:val="274"/>
          <w:jc w:val="center"/>
        </w:trPr>
        <w:tc>
          <w:tcPr>
            <w:tcW w:w="1701" w:type="dxa"/>
            <w:vMerge/>
            <w:vAlign w:val="center"/>
            <w:hideMark/>
          </w:tcPr>
          <w:p w14:paraId="15A00601" w14:textId="77777777" w:rsidR="00807A8E" w:rsidRPr="001B0B69" w:rsidRDefault="00807A8E" w:rsidP="00003EAB">
            <w:pPr>
              <w:pStyle w:val="BodyText"/>
              <w:jc w:val="center"/>
              <w:rPr>
                <w:sz w:val="22"/>
                <w:szCs w:val="22"/>
                <w:lang w:val="en-US"/>
              </w:rPr>
            </w:pPr>
          </w:p>
        </w:tc>
        <w:tc>
          <w:tcPr>
            <w:tcW w:w="1428" w:type="dxa"/>
            <w:vAlign w:val="center"/>
            <w:hideMark/>
          </w:tcPr>
          <w:p w14:paraId="3713103B" w14:textId="77777777" w:rsidR="00807A8E" w:rsidRPr="001B0B69" w:rsidRDefault="00807A8E" w:rsidP="00003EAB">
            <w:pPr>
              <w:pStyle w:val="BodyText"/>
              <w:jc w:val="center"/>
              <w:rPr>
                <w:sz w:val="22"/>
                <w:szCs w:val="22"/>
                <w:lang w:val="en-US"/>
              </w:rPr>
            </w:pPr>
            <w:r w:rsidRPr="001B0B69">
              <w:rPr>
                <w:sz w:val="22"/>
                <w:szCs w:val="22"/>
                <w:lang w:val="en-US"/>
              </w:rPr>
              <w:t>X2.3</w:t>
            </w:r>
          </w:p>
        </w:tc>
        <w:tc>
          <w:tcPr>
            <w:tcW w:w="1417" w:type="dxa"/>
            <w:vAlign w:val="center"/>
            <w:hideMark/>
          </w:tcPr>
          <w:p w14:paraId="7162864A" w14:textId="77777777" w:rsidR="00807A8E" w:rsidRPr="001B0B69" w:rsidRDefault="00807A8E" w:rsidP="00003EAB">
            <w:pPr>
              <w:pStyle w:val="BodyText"/>
              <w:jc w:val="center"/>
              <w:rPr>
                <w:sz w:val="22"/>
                <w:szCs w:val="22"/>
                <w:lang w:val="en-US"/>
              </w:rPr>
            </w:pPr>
            <w:r w:rsidRPr="001B0B69">
              <w:rPr>
                <w:sz w:val="22"/>
                <w:szCs w:val="22"/>
                <w:lang w:val="en-US"/>
              </w:rPr>
              <w:t>0,878</w:t>
            </w:r>
          </w:p>
        </w:tc>
        <w:tc>
          <w:tcPr>
            <w:tcW w:w="1276" w:type="dxa"/>
            <w:vAlign w:val="center"/>
            <w:hideMark/>
          </w:tcPr>
          <w:p w14:paraId="6BC6C36F"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43447196"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4928D4A8" w14:textId="77777777" w:rsidTr="001B5F36">
        <w:trPr>
          <w:trHeight w:val="274"/>
          <w:jc w:val="center"/>
        </w:trPr>
        <w:tc>
          <w:tcPr>
            <w:tcW w:w="1701" w:type="dxa"/>
            <w:vMerge/>
            <w:vAlign w:val="center"/>
            <w:hideMark/>
          </w:tcPr>
          <w:p w14:paraId="59E4AA54" w14:textId="77777777" w:rsidR="00807A8E" w:rsidRPr="001B0B69" w:rsidRDefault="00807A8E" w:rsidP="00003EAB">
            <w:pPr>
              <w:pStyle w:val="BodyText"/>
              <w:jc w:val="center"/>
              <w:rPr>
                <w:sz w:val="22"/>
                <w:szCs w:val="22"/>
                <w:lang w:val="en-US"/>
              </w:rPr>
            </w:pPr>
          </w:p>
        </w:tc>
        <w:tc>
          <w:tcPr>
            <w:tcW w:w="1428" w:type="dxa"/>
            <w:vAlign w:val="center"/>
            <w:hideMark/>
          </w:tcPr>
          <w:p w14:paraId="346747A3" w14:textId="77777777" w:rsidR="00807A8E" w:rsidRPr="001B0B69" w:rsidRDefault="00807A8E" w:rsidP="00003EAB">
            <w:pPr>
              <w:pStyle w:val="BodyText"/>
              <w:jc w:val="center"/>
              <w:rPr>
                <w:sz w:val="22"/>
                <w:szCs w:val="22"/>
                <w:lang w:val="en-US"/>
              </w:rPr>
            </w:pPr>
            <w:r w:rsidRPr="001B0B69">
              <w:rPr>
                <w:sz w:val="22"/>
                <w:szCs w:val="22"/>
                <w:lang w:val="en-US"/>
              </w:rPr>
              <w:t>X2.4</w:t>
            </w:r>
          </w:p>
        </w:tc>
        <w:tc>
          <w:tcPr>
            <w:tcW w:w="1417" w:type="dxa"/>
            <w:vAlign w:val="center"/>
            <w:hideMark/>
          </w:tcPr>
          <w:p w14:paraId="7933FA00" w14:textId="77777777" w:rsidR="00807A8E" w:rsidRPr="001B0B69" w:rsidRDefault="00807A8E" w:rsidP="00003EAB">
            <w:pPr>
              <w:pStyle w:val="BodyText"/>
              <w:jc w:val="center"/>
              <w:rPr>
                <w:sz w:val="22"/>
                <w:szCs w:val="22"/>
                <w:lang w:val="en-US"/>
              </w:rPr>
            </w:pPr>
            <w:r w:rsidRPr="001B0B69">
              <w:rPr>
                <w:sz w:val="22"/>
                <w:szCs w:val="22"/>
                <w:lang w:val="en-US"/>
              </w:rPr>
              <w:t>0,829</w:t>
            </w:r>
          </w:p>
        </w:tc>
        <w:tc>
          <w:tcPr>
            <w:tcW w:w="1276" w:type="dxa"/>
            <w:vAlign w:val="center"/>
            <w:hideMark/>
          </w:tcPr>
          <w:p w14:paraId="5A0ABE45"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69324909"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0AD1BDD5" w14:textId="77777777" w:rsidTr="001B5F36">
        <w:trPr>
          <w:trHeight w:val="274"/>
          <w:jc w:val="center"/>
        </w:trPr>
        <w:tc>
          <w:tcPr>
            <w:tcW w:w="1701" w:type="dxa"/>
            <w:vMerge/>
            <w:vAlign w:val="center"/>
            <w:hideMark/>
          </w:tcPr>
          <w:p w14:paraId="3E730A92" w14:textId="77777777" w:rsidR="00807A8E" w:rsidRPr="001B0B69" w:rsidRDefault="00807A8E" w:rsidP="00003EAB">
            <w:pPr>
              <w:pStyle w:val="BodyText"/>
              <w:jc w:val="center"/>
              <w:rPr>
                <w:sz w:val="22"/>
                <w:szCs w:val="22"/>
                <w:lang w:val="en-US"/>
              </w:rPr>
            </w:pPr>
          </w:p>
        </w:tc>
        <w:tc>
          <w:tcPr>
            <w:tcW w:w="1428" w:type="dxa"/>
            <w:vAlign w:val="center"/>
            <w:hideMark/>
          </w:tcPr>
          <w:p w14:paraId="5E695F33" w14:textId="77777777" w:rsidR="00807A8E" w:rsidRPr="001B0B69" w:rsidRDefault="00807A8E" w:rsidP="00003EAB">
            <w:pPr>
              <w:pStyle w:val="BodyText"/>
              <w:jc w:val="center"/>
              <w:rPr>
                <w:sz w:val="22"/>
                <w:szCs w:val="22"/>
                <w:lang w:val="en-US"/>
              </w:rPr>
            </w:pPr>
            <w:r w:rsidRPr="001B0B69">
              <w:rPr>
                <w:sz w:val="22"/>
                <w:szCs w:val="22"/>
                <w:lang w:val="en-US"/>
              </w:rPr>
              <w:t>X2.5</w:t>
            </w:r>
          </w:p>
        </w:tc>
        <w:tc>
          <w:tcPr>
            <w:tcW w:w="1417" w:type="dxa"/>
            <w:vAlign w:val="center"/>
            <w:hideMark/>
          </w:tcPr>
          <w:p w14:paraId="0B761168" w14:textId="77777777" w:rsidR="00807A8E" w:rsidRPr="001B0B69" w:rsidRDefault="00807A8E" w:rsidP="00003EAB">
            <w:pPr>
              <w:pStyle w:val="BodyText"/>
              <w:jc w:val="center"/>
              <w:rPr>
                <w:sz w:val="22"/>
                <w:szCs w:val="22"/>
                <w:lang w:val="en-US"/>
              </w:rPr>
            </w:pPr>
            <w:r w:rsidRPr="001B0B69">
              <w:rPr>
                <w:sz w:val="22"/>
                <w:szCs w:val="22"/>
                <w:lang w:val="en-US"/>
              </w:rPr>
              <w:t>0,911</w:t>
            </w:r>
          </w:p>
        </w:tc>
        <w:tc>
          <w:tcPr>
            <w:tcW w:w="1276" w:type="dxa"/>
            <w:vAlign w:val="center"/>
            <w:hideMark/>
          </w:tcPr>
          <w:p w14:paraId="4B866925"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7E7C8A47"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53E6AD04" w14:textId="77777777" w:rsidTr="001B5F36">
        <w:trPr>
          <w:trHeight w:val="284"/>
          <w:jc w:val="center"/>
        </w:trPr>
        <w:tc>
          <w:tcPr>
            <w:tcW w:w="1701" w:type="dxa"/>
            <w:vMerge/>
            <w:vAlign w:val="center"/>
            <w:hideMark/>
          </w:tcPr>
          <w:p w14:paraId="2B6C478E" w14:textId="77777777" w:rsidR="00807A8E" w:rsidRPr="001B0B69" w:rsidRDefault="00807A8E" w:rsidP="00003EAB">
            <w:pPr>
              <w:pStyle w:val="BodyText"/>
              <w:jc w:val="center"/>
              <w:rPr>
                <w:sz w:val="22"/>
                <w:szCs w:val="22"/>
                <w:lang w:val="en-US"/>
              </w:rPr>
            </w:pPr>
          </w:p>
        </w:tc>
        <w:tc>
          <w:tcPr>
            <w:tcW w:w="1428" w:type="dxa"/>
            <w:vAlign w:val="center"/>
            <w:hideMark/>
          </w:tcPr>
          <w:p w14:paraId="7401EEBF" w14:textId="77777777" w:rsidR="00807A8E" w:rsidRPr="001B0B69" w:rsidRDefault="00807A8E" w:rsidP="00003EAB">
            <w:pPr>
              <w:pStyle w:val="BodyText"/>
              <w:jc w:val="center"/>
              <w:rPr>
                <w:sz w:val="22"/>
                <w:szCs w:val="22"/>
                <w:lang w:val="en-US"/>
              </w:rPr>
            </w:pPr>
            <w:r w:rsidRPr="001B0B69">
              <w:rPr>
                <w:sz w:val="22"/>
                <w:szCs w:val="22"/>
                <w:lang w:val="en-US"/>
              </w:rPr>
              <w:t>X2.6</w:t>
            </w:r>
          </w:p>
        </w:tc>
        <w:tc>
          <w:tcPr>
            <w:tcW w:w="1417" w:type="dxa"/>
            <w:vAlign w:val="center"/>
            <w:hideMark/>
          </w:tcPr>
          <w:p w14:paraId="0930FF44" w14:textId="77777777" w:rsidR="00807A8E" w:rsidRPr="001B0B69" w:rsidRDefault="00807A8E" w:rsidP="00003EAB">
            <w:pPr>
              <w:pStyle w:val="BodyText"/>
              <w:jc w:val="center"/>
              <w:rPr>
                <w:sz w:val="22"/>
                <w:szCs w:val="22"/>
                <w:lang w:val="en-US"/>
              </w:rPr>
            </w:pPr>
            <w:r w:rsidRPr="001B0B69">
              <w:rPr>
                <w:sz w:val="22"/>
                <w:szCs w:val="22"/>
                <w:lang w:val="en-US"/>
              </w:rPr>
              <w:t>0,858</w:t>
            </w:r>
          </w:p>
        </w:tc>
        <w:tc>
          <w:tcPr>
            <w:tcW w:w="1276" w:type="dxa"/>
            <w:vAlign w:val="center"/>
            <w:hideMark/>
          </w:tcPr>
          <w:p w14:paraId="37BD7A24"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7B0397E2"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17711D60" w14:textId="77777777" w:rsidTr="001B5F36">
        <w:trPr>
          <w:trHeight w:val="274"/>
          <w:jc w:val="center"/>
        </w:trPr>
        <w:tc>
          <w:tcPr>
            <w:tcW w:w="1701" w:type="dxa"/>
            <w:vMerge w:val="restart"/>
          </w:tcPr>
          <w:p w14:paraId="53884C4B" w14:textId="77777777" w:rsidR="00807A8E" w:rsidRPr="001B0B69" w:rsidRDefault="00807A8E" w:rsidP="00003EAB">
            <w:pPr>
              <w:pStyle w:val="BodyText"/>
              <w:jc w:val="center"/>
              <w:rPr>
                <w:sz w:val="22"/>
                <w:szCs w:val="22"/>
                <w:lang w:val="en-US"/>
              </w:rPr>
            </w:pPr>
          </w:p>
          <w:p w14:paraId="2EE3AAEB" w14:textId="77777777" w:rsidR="00807A8E" w:rsidRPr="001B0B69" w:rsidRDefault="00807A8E" w:rsidP="00003EAB">
            <w:pPr>
              <w:pStyle w:val="BodyText"/>
              <w:jc w:val="center"/>
              <w:rPr>
                <w:sz w:val="22"/>
                <w:szCs w:val="22"/>
                <w:lang w:val="en-US"/>
              </w:rPr>
            </w:pPr>
          </w:p>
          <w:p w14:paraId="6F20D2C2" w14:textId="77777777" w:rsidR="00807A8E" w:rsidRPr="001B0B69" w:rsidRDefault="00807A8E" w:rsidP="00003EAB">
            <w:pPr>
              <w:pStyle w:val="BodyText"/>
              <w:jc w:val="center"/>
              <w:rPr>
                <w:sz w:val="22"/>
                <w:szCs w:val="22"/>
                <w:lang w:val="en-US"/>
              </w:rPr>
            </w:pPr>
          </w:p>
          <w:p w14:paraId="59425110" w14:textId="77777777" w:rsidR="00807A8E" w:rsidRPr="001B0B69" w:rsidRDefault="00807A8E" w:rsidP="00003EAB">
            <w:pPr>
              <w:pStyle w:val="BodyText"/>
              <w:jc w:val="center"/>
              <w:rPr>
                <w:sz w:val="22"/>
                <w:szCs w:val="22"/>
                <w:lang w:val="en-US"/>
              </w:rPr>
            </w:pPr>
          </w:p>
          <w:p w14:paraId="602CC4ED" w14:textId="77777777" w:rsidR="00807A8E" w:rsidRPr="001B0B69" w:rsidRDefault="00807A8E" w:rsidP="00003EAB">
            <w:pPr>
              <w:pStyle w:val="BodyText"/>
              <w:jc w:val="center"/>
              <w:rPr>
                <w:sz w:val="22"/>
                <w:szCs w:val="22"/>
                <w:lang w:val="en-US"/>
              </w:rPr>
            </w:pPr>
            <w:r w:rsidRPr="001B0B69">
              <w:rPr>
                <w:sz w:val="22"/>
                <w:szCs w:val="22"/>
                <w:lang w:val="en-US"/>
              </w:rPr>
              <w:t>Competencies (X3)</w:t>
            </w:r>
          </w:p>
        </w:tc>
        <w:tc>
          <w:tcPr>
            <w:tcW w:w="1428" w:type="dxa"/>
            <w:vAlign w:val="center"/>
            <w:hideMark/>
          </w:tcPr>
          <w:p w14:paraId="308BAA71" w14:textId="77777777" w:rsidR="00807A8E" w:rsidRPr="001B0B69" w:rsidRDefault="00807A8E" w:rsidP="00003EAB">
            <w:pPr>
              <w:pStyle w:val="BodyText"/>
              <w:jc w:val="center"/>
              <w:rPr>
                <w:sz w:val="22"/>
                <w:szCs w:val="22"/>
                <w:lang w:val="en-US"/>
              </w:rPr>
            </w:pPr>
            <w:r w:rsidRPr="001B0B69">
              <w:rPr>
                <w:sz w:val="22"/>
                <w:szCs w:val="22"/>
                <w:lang w:val="en-US"/>
              </w:rPr>
              <w:t>X3.1</w:t>
            </w:r>
          </w:p>
        </w:tc>
        <w:tc>
          <w:tcPr>
            <w:tcW w:w="1417" w:type="dxa"/>
            <w:vAlign w:val="center"/>
            <w:hideMark/>
          </w:tcPr>
          <w:p w14:paraId="79166B91" w14:textId="77777777" w:rsidR="00807A8E" w:rsidRPr="001B0B69" w:rsidRDefault="00807A8E" w:rsidP="00003EAB">
            <w:pPr>
              <w:pStyle w:val="BodyText"/>
              <w:jc w:val="center"/>
              <w:rPr>
                <w:sz w:val="22"/>
                <w:szCs w:val="22"/>
                <w:lang w:val="en-US"/>
              </w:rPr>
            </w:pPr>
            <w:r w:rsidRPr="001B0B69">
              <w:rPr>
                <w:sz w:val="22"/>
                <w:szCs w:val="22"/>
                <w:lang w:val="en-US"/>
              </w:rPr>
              <w:t>0,944</w:t>
            </w:r>
          </w:p>
        </w:tc>
        <w:tc>
          <w:tcPr>
            <w:tcW w:w="1276" w:type="dxa"/>
            <w:vAlign w:val="center"/>
            <w:hideMark/>
          </w:tcPr>
          <w:p w14:paraId="6C29948E"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12350798"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05946771" w14:textId="77777777" w:rsidTr="001B5F36">
        <w:trPr>
          <w:trHeight w:val="274"/>
          <w:jc w:val="center"/>
        </w:trPr>
        <w:tc>
          <w:tcPr>
            <w:tcW w:w="1701" w:type="dxa"/>
            <w:vMerge/>
            <w:vAlign w:val="center"/>
            <w:hideMark/>
          </w:tcPr>
          <w:p w14:paraId="6980A677" w14:textId="77777777" w:rsidR="00807A8E" w:rsidRPr="001B0B69" w:rsidRDefault="00807A8E" w:rsidP="00003EAB">
            <w:pPr>
              <w:pStyle w:val="BodyText"/>
              <w:jc w:val="center"/>
              <w:rPr>
                <w:sz w:val="22"/>
                <w:szCs w:val="22"/>
                <w:lang w:val="en-US"/>
              </w:rPr>
            </w:pPr>
          </w:p>
        </w:tc>
        <w:tc>
          <w:tcPr>
            <w:tcW w:w="1428" w:type="dxa"/>
            <w:vAlign w:val="center"/>
            <w:hideMark/>
          </w:tcPr>
          <w:p w14:paraId="077F2516" w14:textId="77777777" w:rsidR="00807A8E" w:rsidRPr="001B0B69" w:rsidRDefault="00807A8E" w:rsidP="00003EAB">
            <w:pPr>
              <w:pStyle w:val="BodyText"/>
              <w:jc w:val="center"/>
              <w:rPr>
                <w:sz w:val="22"/>
                <w:szCs w:val="22"/>
                <w:lang w:val="en-US"/>
              </w:rPr>
            </w:pPr>
            <w:r w:rsidRPr="001B0B69">
              <w:rPr>
                <w:sz w:val="22"/>
                <w:szCs w:val="22"/>
                <w:lang w:val="en-US"/>
              </w:rPr>
              <w:t>X3.2</w:t>
            </w:r>
          </w:p>
        </w:tc>
        <w:tc>
          <w:tcPr>
            <w:tcW w:w="1417" w:type="dxa"/>
            <w:vAlign w:val="center"/>
            <w:hideMark/>
          </w:tcPr>
          <w:p w14:paraId="33BE6827" w14:textId="77777777" w:rsidR="00807A8E" w:rsidRPr="001B0B69" w:rsidRDefault="00807A8E" w:rsidP="00003EAB">
            <w:pPr>
              <w:pStyle w:val="BodyText"/>
              <w:jc w:val="center"/>
              <w:rPr>
                <w:sz w:val="22"/>
                <w:szCs w:val="22"/>
                <w:lang w:val="en-US"/>
              </w:rPr>
            </w:pPr>
            <w:r w:rsidRPr="001B0B69">
              <w:rPr>
                <w:sz w:val="22"/>
                <w:szCs w:val="22"/>
                <w:lang w:val="en-US"/>
              </w:rPr>
              <w:t>0,744</w:t>
            </w:r>
          </w:p>
        </w:tc>
        <w:tc>
          <w:tcPr>
            <w:tcW w:w="1276" w:type="dxa"/>
            <w:vAlign w:val="center"/>
            <w:hideMark/>
          </w:tcPr>
          <w:p w14:paraId="2AAE6B9F"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0063893C"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5EEB6FFD" w14:textId="77777777" w:rsidTr="001B5F36">
        <w:trPr>
          <w:trHeight w:val="274"/>
          <w:jc w:val="center"/>
        </w:trPr>
        <w:tc>
          <w:tcPr>
            <w:tcW w:w="1701" w:type="dxa"/>
            <w:vMerge/>
            <w:vAlign w:val="center"/>
            <w:hideMark/>
          </w:tcPr>
          <w:p w14:paraId="295106B6" w14:textId="77777777" w:rsidR="00807A8E" w:rsidRPr="001B0B69" w:rsidRDefault="00807A8E" w:rsidP="00003EAB">
            <w:pPr>
              <w:pStyle w:val="BodyText"/>
              <w:jc w:val="center"/>
              <w:rPr>
                <w:sz w:val="22"/>
                <w:szCs w:val="22"/>
                <w:lang w:val="en-US"/>
              </w:rPr>
            </w:pPr>
          </w:p>
        </w:tc>
        <w:tc>
          <w:tcPr>
            <w:tcW w:w="1428" w:type="dxa"/>
            <w:vAlign w:val="center"/>
            <w:hideMark/>
          </w:tcPr>
          <w:p w14:paraId="247B3FDC" w14:textId="77777777" w:rsidR="00807A8E" w:rsidRPr="001B0B69" w:rsidRDefault="00807A8E" w:rsidP="00003EAB">
            <w:pPr>
              <w:pStyle w:val="BodyText"/>
              <w:jc w:val="center"/>
              <w:rPr>
                <w:sz w:val="22"/>
                <w:szCs w:val="22"/>
                <w:lang w:val="en-US"/>
              </w:rPr>
            </w:pPr>
            <w:r w:rsidRPr="001B0B69">
              <w:rPr>
                <w:sz w:val="22"/>
                <w:szCs w:val="22"/>
                <w:lang w:val="en-US"/>
              </w:rPr>
              <w:t>X3.3</w:t>
            </w:r>
          </w:p>
        </w:tc>
        <w:tc>
          <w:tcPr>
            <w:tcW w:w="1417" w:type="dxa"/>
            <w:vAlign w:val="center"/>
            <w:hideMark/>
          </w:tcPr>
          <w:p w14:paraId="274D9003" w14:textId="77777777" w:rsidR="00807A8E" w:rsidRPr="001B0B69" w:rsidRDefault="00807A8E" w:rsidP="00003EAB">
            <w:pPr>
              <w:pStyle w:val="BodyText"/>
              <w:jc w:val="center"/>
              <w:rPr>
                <w:sz w:val="22"/>
                <w:szCs w:val="22"/>
                <w:lang w:val="en-US"/>
              </w:rPr>
            </w:pPr>
            <w:r w:rsidRPr="001B0B69">
              <w:rPr>
                <w:sz w:val="22"/>
                <w:szCs w:val="22"/>
                <w:lang w:val="en-US"/>
              </w:rPr>
              <w:t>0,836</w:t>
            </w:r>
          </w:p>
        </w:tc>
        <w:tc>
          <w:tcPr>
            <w:tcW w:w="1276" w:type="dxa"/>
            <w:vAlign w:val="center"/>
            <w:hideMark/>
          </w:tcPr>
          <w:p w14:paraId="659A7DF2"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72DE8D9B"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0CEB78C8" w14:textId="77777777" w:rsidTr="001B5F36">
        <w:trPr>
          <w:trHeight w:val="274"/>
          <w:jc w:val="center"/>
        </w:trPr>
        <w:tc>
          <w:tcPr>
            <w:tcW w:w="1701" w:type="dxa"/>
            <w:vMerge/>
            <w:vAlign w:val="center"/>
            <w:hideMark/>
          </w:tcPr>
          <w:p w14:paraId="09342058" w14:textId="77777777" w:rsidR="00807A8E" w:rsidRPr="001B0B69" w:rsidRDefault="00807A8E" w:rsidP="00003EAB">
            <w:pPr>
              <w:pStyle w:val="BodyText"/>
              <w:jc w:val="center"/>
              <w:rPr>
                <w:sz w:val="22"/>
                <w:szCs w:val="22"/>
                <w:lang w:val="en-US"/>
              </w:rPr>
            </w:pPr>
          </w:p>
        </w:tc>
        <w:tc>
          <w:tcPr>
            <w:tcW w:w="1428" w:type="dxa"/>
            <w:vAlign w:val="center"/>
            <w:hideMark/>
          </w:tcPr>
          <w:p w14:paraId="2FC984DF" w14:textId="77777777" w:rsidR="00807A8E" w:rsidRPr="001B0B69" w:rsidRDefault="00807A8E" w:rsidP="00003EAB">
            <w:pPr>
              <w:pStyle w:val="BodyText"/>
              <w:jc w:val="center"/>
              <w:rPr>
                <w:sz w:val="22"/>
                <w:szCs w:val="22"/>
                <w:lang w:val="en-US"/>
              </w:rPr>
            </w:pPr>
            <w:r w:rsidRPr="001B0B69">
              <w:rPr>
                <w:sz w:val="22"/>
                <w:szCs w:val="22"/>
                <w:lang w:val="en-US"/>
              </w:rPr>
              <w:t>X3.4</w:t>
            </w:r>
          </w:p>
        </w:tc>
        <w:tc>
          <w:tcPr>
            <w:tcW w:w="1417" w:type="dxa"/>
            <w:vAlign w:val="center"/>
            <w:hideMark/>
          </w:tcPr>
          <w:p w14:paraId="60FB1BA1" w14:textId="77777777" w:rsidR="00807A8E" w:rsidRPr="001B0B69" w:rsidRDefault="00807A8E" w:rsidP="00003EAB">
            <w:pPr>
              <w:pStyle w:val="BodyText"/>
              <w:jc w:val="center"/>
              <w:rPr>
                <w:sz w:val="22"/>
                <w:szCs w:val="22"/>
                <w:lang w:val="en-US"/>
              </w:rPr>
            </w:pPr>
            <w:r w:rsidRPr="001B0B69">
              <w:rPr>
                <w:sz w:val="22"/>
                <w:szCs w:val="22"/>
                <w:lang w:val="en-US"/>
              </w:rPr>
              <w:t>0,926</w:t>
            </w:r>
          </w:p>
        </w:tc>
        <w:tc>
          <w:tcPr>
            <w:tcW w:w="1276" w:type="dxa"/>
            <w:vAlign w:val="center"/>
            <w:hideMark/>
          </w:tcPr>
          <w:p w14:paraId="1C5FC74F"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216DD0AE"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308F1CB7" w14:textId="77777777" w:rsidTr="001B5F36">
        <w:trPr>
          <w:trHeight w:val="274"/>
          <w:jc w:val="center"/>
        </w:trPr>
        <w:tc>
          <w:tcPr>
            <w:tcW w:w="1701" w:type="dxa"/>
            <w:vMerge/>
            <w:vAlign w:val="center"/>
            <w:hideMark/>
          </w:tcPr>
          <w:p w14:paraId="408554C4" w14:textId="77777777" w:rsidR="00807A8E" w:rsidRPr="001B0B69" w:rsidRDefault="00807A8E" w:rsidP="00003EAB">
            <w:pPr>
              <w:pStyle w:val="BodyText"/>
              <w:jc w:val="center"/>
              <w:rPr>
                <w:sz w:val="22"/>
                <w:szCs w:val="22"/>
                <w:lang w:val="en-US"/>
              </w:rPr>
            </w:pPr>
          </w:p>
        </w:tc>
        <w:tc>
          <w:tcPr>
            <w:tcW w:w="1428" w:type="dxa"/>
            <w:vAlign w:val="center"/>
            <w:hideMark/>
          </w:tcPr>
          <w:p w14:paraId="5611C150" w14:textId="77777777" w:rsidR="00807A8E" w:rsidRPr="001B0B69" w:rsidRDefault="00807A8E" w:rsidP="00003EAB">
            <w:pPr>
              <w:pStyle w:val="BodyText"/>
              <w:jc w:val="center"/>
              <w:rPr>
                <w:sz w:val="22"/>
                <w:szCs w:val="22"/>
                <w:lang w:val="en-US"/>
              </w:rPr>
            </w:pPr>
            <w:r w:rsidRPr="001B0B69">
              <w:rPr>
                <w:sz w:val="22"/>
                <w:szCs w:val="22"/>
                <w:lang w:val="en-US"/>
              </w:rPr>
              <w:t>X3.5</w:t>
            </w:r>
          </w:p>
        </w:tc>
        <w:tc>
          <w:tcPr>
            <w:tcW w:w="1417" w:type="dxa"/>
            <w:vAlign w:val="center"/>
            <w:hideMark/>
          </w:tcPr>
          <w:p w14:paraId="0231F94D" w14:textId="77777777" w:rsidR="00807A8E" w:rsidRPr="001B0B69" w:rsidRDefault="00807A8E" w:rsidP="00003EAB">
            <w:pPr>
              <w:pStyle w:val="BodyText"/>
              <w:jc w:val="center"/>
              <w:rPr>
                <w:sz w:val="22"/>
                <w:szCs w:val="22"/>
                <w:lang w:val="en-US"/>
              </w:rPr>
            </w:pPr>
            <w:r w:rsidRPr="001B0B69">
              <w:rPr>
                <w:sz w:val="22"/>
                <w:szCs w:val="22"/>
                <w:lang w:val="en-US"/>
              </w:rPr>
              <w:t>0,912</w:t>
            </w:r>
          </w:p>
        </w:tc>
        <w:tc>
          <w:tcPr>
            <w:tcW w:w="1276" w:type="dxa"/>
            <w:vAlign w:val="center"/>
            <w:hideMark/>
          </w:tcPr>
          <w:p w14:paraId="5235AD47"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7045605F"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3F336981" w14:textId="77777777" w:rsidTr="001B5F36">
        <w:trPr>
          <w:trHeight w:val="274"/>
          <w:jc w:val="center"/>
        </w:trPr>
        <w:tc>
          <w:tcPr>
            <w:tcW w:w="1701" w:type="dxa"/>
            <w:vMerge/>
            <w:vAlign w:val="center"/>
            <w:hideMark/>
          </w:tcPr>
          <w:p w14:paraId="7D4D6A39" w14:textId="77777777" w:rsidR="00807A8E" w:rsidRPr="001B0B69" w:rsidRDefault="00807A8E" w:rsidP="00003EAB">
            <w:pPr>
              <w:pStyle w:val="BodyText"/>
              <w:jc w:val="center"/>
              <w:rPr>
                <w:sz w:val="22"/>
                <w:szCs w:val="22"/>
                <w:lang w:val="en-US"/>
              </w:rPr>
            </w:pPr>
          </w:p>
        </w:tc>
        <w:tc>
          <w:tcPr>
            <w:tcW w:w="1428" w:type="dxa"/>
            <w:vAlign w:val="center"/>
            <w:hideMark/>
          </w:tcPr>
          <w:p w14:paraId="1DF1136E" w14:textId="77777777" w:rsidR="00807A8E" w:rsidRPr="001B0B69" w:rsidRDefault="00807A8E" w:rsidP="00003EAB">
            <w:pPr>
              <w:pStyle w:val="BodyText"/>
              <w:jc w:val="center"/>
              <w:rPr>
                <w:sz w:val="22"/>
                <w:szCs w:val="22"/>
                <w:lang w:val="en-US"/>
              </w:rPr>
            </w:pPr>
            <w:r w:rsidRPr="001B0B69">
              <w:rPr>
                <w:sz w:val="22"/>
                <w:szCs w:val="22"/>
                <w:lang w:val="en-US"/>
              </w:rPr>
              <w:t>X3.6</w:t>
            </w:r>
          </w:p>
        </w:tc>
        <w:tc>
          <w:tcPr>
            <w:tcW w:w="1417" w:type="dxa"/>
            <w:vAlign w:val="center"/>
            <w:hideMark/>
          </w:tcPr>
          <w:p w14:paraId="44832D37" w14:textId="77777777" w:rsidR="00807A8E" w:rsidRPr="001B0B69" w:rsidRDefault="00807A8E" w:rsidP="00003EAB">
            <w:pPr>
              <w:pStyle w:val="BodyText"/>
              <w:jc w:val="center"/>
              <w:rPr>
                <w:sz w:val="22"/>
                <w:szCs w:val="22"/>
                <w:lang w:val="en-US"/>
              </w:rPr>
            </w:pPr>
            <w:r w:rsidRPr="001B0B69">
              <w:rPr>
                <w:sz w:val="22"/>
                <w:szCs w:val="22"/>
                <w:lang w:val="en-US"/>
              </w:rPr>
              <w:t>0,936</w:t>
            </w:r>
          </w:p>
        </w:tc>
        <w:tc>
          <w:tcPr>
            <w:tcW w:w="1276" w:type="dxa"/>
            <w:vAlign w:val="center"/>
            <w:hideMark/>
          </w:tcPr>
          <w:p w14:paraId="776A710B"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497F9993"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425D39EA" w14:textId="77777777" w:rsidTr="001B5F36">
        <w:trPr>
          <w:trHeight w:val="274"/>
          <w:jc w:val="center"/>
        </w:trPr>
        <w:tc>
          <w:tcPr>
            <w:tcW w:w="1701" w:type="dxa"/>
            <w:vMerge/>
            <w:vAlign w:val="center"/>
            <w:hideMark/>
          </w:tcPr>
          <w:p w14:paraId="3263502F" w14:textId="77777777" w:rsidR="00807A8E" w:rsidRPr="001B0B69" w:rsidRDefault="00807A8E" w:rsidP="00003EAB">
            <w:pPr>
              <w:pStyle w:val="BodyText"/>
              <w:jc w:val="center"/>
              <w:rPr>
                <w:sz w:val="22"/>
                <w:szCs w:val="22"/>
                <w:lang w:val="en-US"/>
              </w:rPr>
            </w:pPr>
          </w:p>
        </w:tc>
        <w:tc>
          <w:tcPr>
            <w:tcW w:w="1428" w:type="dxa"/>
            <w:vAlign w:val="center"/>
            <w:hideMark/>
          </w:tcPr>
          <w:p w14:paraId="2707D825" w14:textId="77777777" w:rsidR="00807A8E" w:rsidRPr="001B0B69" w:rsidRDefault="00807A8E" w:rsidP="00003EAB">
            <w:pPr>
              <w:pStyle w:val="BodyText"/>
              <w:jc w:val="center"/>
              <w:rPr>
                <w:sz w:val="22"/>
                <w:szCs w:val="22"/>
                <w:lang w:val="en-US"/>
              </w:rPr>
            </w:pPr>
            <w:r w:rsidRPr="001B0B69">
              <w:rPr>
                <w:sz w:val="22"/>
                <w:szCs w:val="22"/>
                <w:lang w:val="en-US"/>
              </w:rPr>
              <w:t>X3.7</w:t>
            </w:r>
          </w:p>
        </w:tc>
        <w:tc>
          <w:tcPr>
            <w:tcW w:w="1417" w:type="dxa"/>
            <w:vAlign w:val="center"/>
            <w:hideMark/>
          </w:tcPr>
          <w:p w14:paraId="72FBB857" w14:textId="77777777" w:rsidR="00807A8E" w:rsidRPr="001B0B69" w:rsidRDefault="00807A8E" w:rsidP="00003EAB">
            <w:pPr>
              <w:pStyle w:val="BodyText"/>
              <w:jc w:val="center"/>
              <w:rPr>
                <w:sz w:val="22"/>
                <w:szCs w:val="22"/>
                <w:lang w:val="en-US"/>
              </w:rPr>
            </w:pPr>
            <w:r w:rsidRPr="001B0B69">
              <w:rPr>
                <w:sz w:val="22"/>
                <w:szCs w:val="22"/>
                <w:lang w:val="en-US"/>
              </w:rPr>
              <w:t>0,911</w:t>
            </w:r>
          </w:p>
        </w:tc>
        <w:tc>
          <w:tcPr>
            <w:tcW w:w="1276" w:type="dxa"/>
            <w:vAlign w:val="center"/>
            <w:hideMark/>
          </w:tcPr>
          <w:p w14:paraId="3DDBC496"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33118662" w14:textId="77777777" w:rsidR="00807A8E" w:rsidRPr="001B0B69" w:rsidRDefault="00807A8E" w:rsidP="00003EAB">
            <w:pPr>
              <w:pStyle w:val="BodyText"/>
              <w:jc w:val="center"/>
              <w:rPr>
                <w:sz w:val="22"/>
                <w:szCs w:val="22"/>
                <w:lang w:val="en-US"/>
              </w:rPr>
            </w:pPr>
            <w:r w:rsidRPr="001B0B69">
              <w:rPr>
                <w:sz w:val="22"/>
                <w:szCs w:val="22"/>
                <w:lang w:val="en-US"/>
              </w:rPr>
              <w:t>Valid</w:t>
            </w:r>
          </w:p>
        </w:tc>
      </w:tr>
      <w:tr w:rsidR="00807A8E" w:rsidRPr="001B0B69" w14:paraId="1B5B0761" w14:textId="77777777" w:rsidTr="001B5F36">
        <w:trPr>
          <w:trHeight w:val="274"/>
          <w:jc w:val="center"/>
        </w:trPr>
        <w:tc>
          <w:tcPr>
            <w:tcW w:w="1701" w:type="dxa"/>
            <w:vMerge/>
            <w:vAlign w:val="center"/>
            <w:hideMark/>
          </w:tcPr>
          <w:p w14:paraId="0D839775" w14:textId="77777777" w:rsidR="00807A8E" w:rsidRPr="001B0B69" w:rsidRDefault="00807A8E" w:rsidP="00003EAB">
            <w:pPr>
              <w:pStyle w:val="BodyText"/>
              <w:jc w:val="center"/>
              <w:rPr>
                <w:sz w:val="22"/>
                <w:szCs w:val="22"/>
                <w:lang w:val="en-US"/>
              </w:rPr>
            </w:pPr>
          </w:p>
        </w:tc>
        <w:tc>
          <w:tcPr>
            <w:tcW w:w="1428" w:type="dxa"/>
            <w:vAlign w:val="center"/>
            <w:hideMark/>
          </w:tcPr>
          <w:p w14:paraId="0C5627FE" w14:textId="77777777" w:rsidR="00807A8E" w:rsidRPr="001B0B69" w:rsidRDefault="00807A8E" w:rsidP="00003EAB">
            <w:pPr>
              <w:pStyle w:val="BodyText"/>
              <w:jc w:val="center"/>
              <w:rPr>
                <w:sz w:val="22"/>
                <w:szCs w:val="22"/>
                <w:lang w:val="en-US"/>
              </w:rPr>
            </w:pPr>
            <w:r w:rsidRPr="001B0B69">
              <w:rPr>
                <w:sz w:val="22"/>
                <w:szCs w:val="22"/>
                <w:lang w:val="en-US"/>
              </w:rPr>
              <w:t>X3.8</w:t>
            </w:r>
          </w:p>
        </w:tc>
        <w:tc>
          <w:tcPr>
            <w:tcW w:w="1417" w:type="dxa"/>
            <w:vAlign w:val="center"/>
            <w:hideMark/>
          </w:tcPr>
          <w:p w14:paraId="6048EF7F" w14:textId="77777777" w:rsidR="00807A8E" w:rsidRPr="001B0B69" w:rsidRDefault="00807A8E" w:rsidP="00003EAB">
            <w:pPr>
              <w:pStyle w:val="BodyText"/>
              <w:jc w:val="center"/>
              <w:rPr>
                <w:sz w:val="22"/>
                <w:szCs w:val="22"/>
                <w:lang w:val="en-US"/>
              </w:rPr>
            </w:pPr>
            <w:r w:rsidRPr="001B0B69">
              <w:rPr>
                <w:sz w:val="22"/>
                <w:szCs w:val="22"/>
                <w:lang w:val="en-US"/>
              </w:rPr>
              <w:t>0,589</w:t>
            </w:r>
          </w:p>
        </w:tc>
        <w:tc>
          <w:tcPr>
            <w:tcW w:w="1276" w:type="dxa"/>
            <w:vAlign w:val="center"/>
            <w:hideMark/>
          </w:tcPr>
          <w:p w14:paraId="6918CC20" w14:textId="77777777" w:rsidR="00807A8E" w:rsidRPr="001B0B69" w:rsidRDefault="00807A8E" w:rsidP="00003EAB">
            <w:pPr>
              <w:pStyle w:val="BodyText"/>
              <w:jc w:val="center"/>
              <w:rPr>
                <w:sz w:val="22"/>
                <w:szCs w:val="22"/>
                <w:lang w:val="en-US"/>
              </w:rPr>
            </w:pPr>
            <w:r w:rsidRPr="001B0B69">
              <w:rPr>
                <w:sz w:val="22"/>
                <w:szCs w:val="22"/>
                <w:lang w:val="en-US"/>
              </w:rPr>
              <w:t>0,344</w:t>
            </w:r>
          </w:p>
        </w:tc>
        <w:tc>
          <w:tcPr>
            <w:tcW w:w="1559" w:type="dxa"/>
            <w:vAlign w:val="center"/>
            <w:hideMark/>
          </w:tcPr>
          <w:p w14:paraId="775BE487" w14:textId="77777777" w:rsidR="00807A8E" w:rsidRPr="001B0B69" w:rsidRDefault="00807A8E" w:rsidP="00003EAB">
            <w:pPr>
              <w:pStyle w:val="BodyText"/>
              <w:jc w:val="center"/>
              <w:rPr>
                <w:sz w:val="22"/>
                <w:szCs w:val="22"/>
                <w:lang w:val="en-US"/>
              </w:rPr>
            </w:pPr>
            <w:r w:rsidRPr="001B0B69">
              <w:rPr>
                <w:sz w:val="22"/>
                <w:szCs w:val="22"/>
                <w:lang w:val="en-US"/>
              </w:rPr>
              <w:t>Valid</w:t>
            </w:r>
          </w:p>
        </w:tc>
      </w:tr>
    </w:tbl>
    <w:p w14:paraId="07427D61" w14:textId="12600AA2" w:rsidR="00807A8E" w:rsidRPr="001B0B69" w:rsidRDefault="00807A8E" w:rsidP="00003EAB">
      <w:pPr>
        <w:spacing w:line="276" w:lineRule="auto"/>
        <w:jc w:val="center"/>
        <w:rPr>
          <w:color w:val="000000" w:themeColor="text1"/>
        </w:rPr>
      </w:pPr>
      <w:r w:rsidRPr="001B0B69">
        <w:rPr>
          <w:color w:val="000000" w:themeColor="text1"/>
        </w:rPr>
        <w:t>Source: SPSS appendix processed by the researcher from appendix p. 121</w:t>
      </w:r>
    </w:p>
    <w:p w14:paraId="2ACA66E2" w14:textId="77777777" w:rsidR="006B354F" w:rsidRPr="001B0B69" w:rsidRDefault="006B354F" w:rsidP="00807A8E">
      <w:pPr>
        <w:spacing w:line="276" w:lineRule="auto"/>
        <w:ind w:firstLine="709"/>
        <w:rPr>
          <w:color w:val="000000" w:themeColor="text1"/>
        </w:rPr>
      </w:pPr>
    </w:p>
    <w:p w14:paraId="1CD09F1F" w14:textId="1228301C" w:rsidR="00807A8E" w:rsidRPr="001B0B69" w:rsidRDefault="00807A8E" w:rsidP="00807A8E">
      <w:pPr>
        <w:spacing w:line="276" w:lineRule="auto"/>
        <w:ind w:firstLine="709"/>
        <w:rPr>
          <w:color w:val="000000" w:themeColor="text1"/>
        </w:rPr>
      </w:pPr>
      <w:r w:rsidRPr="001B0B69">
        <w:rPr>
          <w:color w:val="000000" w:themeColor="text1"/>
        </w:rPr>
        <w:t>Based on the calculation of validity, it was concluded that of the 28 statements submitted for the variables of managerial performance, budget participation, motivation, and competence, no invalid statements were found. It can be seen from the value of r calculated &gt; r table. Thus, all statements in the instrument used are declared valid.</w:t>
      </w:r>
    </w:p>
    <w:p w14:paraId="53494FB3" w14:textId="77777777" w:rsidR="006E796F" w:rsidRPr="001B0B69" w:rsidRDefault="006E796F" w:rsidP="006E796F">
      <w:pPr>
        <w:spacing w:line="276" w:lineRule="auto"/>
        <w:ind w:firstLine="709"/>
        <w:rPr>
          <w:b/>
          <w:bCs/>
          <w:i/>
          <w:iCs/>
          <w:color w:val="000000" w:themeColor="text1"/>
        </w:rPr>
      </w:pPr>
    </w:p>
    <w:p w14:paraId="0A753A89" w14:textId="65784DB0" w:rsidR="00807A8E" w:rsidRPr="001B0B69" w:rsidRDefault="00807A8E" w:rsidP="006E796F">
      <w:pPr>
        <w:spacing w:line="276" w:lineRule="auto"/>
        <w:ind w:firstLine="709"/>
        <w:rPr>
          <w:b/>
          <w:bCs/>
          <w:i/>
          <w:iCs/>
          <w:color w:val="000000" w:themeColor="text1"/>
        </w:rPr>
      </w:pPr>
      <w:r w:rsidRPr="001B0B69">
        <w:rPr>
          <w:b/>
          <w:bCs/>
          <w:i/>
          <w:iCs/>
          <w:color w:val="000000" w:themeColor="text1"/>
        </w:rPr>
        <w:t>Reliability Test</w:t>
      </w:r>
    </w:p>
    <w:p w14:paraId="4E535E2E" w14:textId="50A08C31" w:rsidR="00807A8E" w:rsidRPr="001B0B69" w:rsidRDefault="00807A8E" w:rsidP="00807A8E">
      <w:pPr>
        <w:spacing w:line="276" w:lineRule="auto"/>
        <w:ind w:firstLine="709"/>
        <w:rPr>
          <w:color w:val="000000" w:themeColor="text1"/>
        </w:rPr>
      </w:pPr>
      <w:r w:rsidRPr="001B0B69">
        <w:rPr>
          <w:color w:val="000000" w:themeColor="text1"/>
        </w:rPr>
        <w:t xml:space="preserve">The reliability test is used to measure respondents' consistent answers over time. Reliability testing using the </w:t>
      </w:r>
      <w:r w:rsidR="001B0B69" w:rsidRPr="001B0B69">
        <w:rPr>
          <w:color w:val="000000" w:themeColor="text1"/>
        </w:rPr>
        <w:t>Cronbach</w:t>
      </w:r>
      <w:r w:rsidRPr="001B0B69">
        <w:rPr>
          <w:color w:val="000000" w:themeColor="text1"/>
        </w:rPr>
        <w:t xml:space="preserve"> Alpha &gt; 0.6 test.</w:t>
      </w:r>
    </w:p>
    <w:p w14:paraId="080A7D11" w14:textId="77777777" w:rsidR="006B354F" w:rsidRPr="001B0B69" w:rsidRDefault="006B354F" w:rsidP="00003EAB">
      <w:pPr>
        <w:spacing w:line="276" w:lineRule="auto"/>
        <w:jc w:val="center"/>
        <w:rPr>
          <w:color w:val="000000" w:themeColor="text1"/>
        </w:rPr>
      </w:pPr>
    </w:p>
    <w:p w14:paraId="0879AEE8" w14:textId="31D9B53C" w:rsidR="00807A8E" w:rsidRPr="001B0B69" w:rsidRDefault="00807A8E" w:rsidP="00003EAB">
      <w:pPr>
        <w:spacing w:line="276" w:lineRule="auto"/>
        <w:jc w:val="center"/>
        <w:rPr>
          <w:color w:val="000000" w:themeColor="text1"/>
        </w:rPr>
      </w:pPr>
      <w:r w:rsidRPr="001B0B69">
        <w:rPr>
          <w:color w:val="000000" w:themeColor="text1"/>
        </w:rPr>
        <w:t xml:space="preserve">Table </w:t>
      </w:r>
      <w:r w:rsidR="006E796F" w:rsidRPr="001B0B69">
        <w:rPr>
          <w:color w:val="000000" w:themeColor="text1"/>
        </w:rPr>
        <w:t>4</w:t>
      </w:r>
      <w:r w:rsidRPr="001B0B69">
        <w:rPr>
          <w:color w:val="000000" w:themeColor="text1"/>
        </w:rPr>
        <w:t>.</w:t>
      </w:r>
      <w:r w:rsidR="006E796F" w:rsidRPr="001B0B69">
        <w:rPr>
          <w:color w:val="000000" w:themeColor="text1"/>
        </w:rPr>
        <w:t xml:space="preserve"> </w:t>
      </w:r>
      <w:r w:rsidRPr="001B0B69">
        <w:rPr>
          <w:color w:val="000000" w:themeColor="text1"/>
        </w:rPr>
        <w:t>Reliability Test</w:t>
      </w:r>
    </w:p>
    <w:tbl>
      <w:tblPr>
        <w:tblW w:w="9067"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877"/>
        <w:gridCol w:w="2080"/>
        <w:gridCol w:w="2835"/>
        <w:gridCol w:w="1275"/>
      </w:tblGrid>
      <w:tr w:rsidR="00807A8E" w:rsidRPr="001B0B69" w14:paraId="4DDD042F" w14:textId="77777777" w:rsidTr="001B5F36">
        <w:trPr>
          <w:trHeight w:val="54"/>
          <w:jc w:val="center"/>
        </w:trPr>
        <w:tc>
          <w:tcPr>
            <w:tcW w:w="2877" w:type="dxa"/>
            <w:vAlign w:val="center"/>
            <w:hideMark/>
          </w:tcPr>
          <w:p w14:paraId="1E1607DF" w14:textId="77777777" w:rsidR="00807A8E" w:rsidRPr="001B0B69" w:rsidRDefault="00807A8E" w:rsidP="00003EAB">
            <w:pPr>
              <w:pStyle w:val="BodyText"/>
              <w:jc w:val="center"/>
              <w:rPr>
                <w:b/>
                <w:sz w:val="22"/>
                <w:szCs w:val="22"/>
                <w:lang w:val="en-US"/>
              </w:rPr>
            </w:pPr>
            <w:r w:rsidRPr="001B0B69">
              <w:rPr>
                <w:b/>
                <w:sz w:val="22"/>
                <w:szCs w:val="22"/>
                <w:lang w:val="en-US"/>
              </w:rPr>
              <w:t>Variabel</w:t>
            </w:r>
          </w:p>
        </w:tc>
        <w:tc>
          <w:tcPr>
            <w:tcW w:w="2080" w:type="dxa"/>
            <w:vAlign w:val="center"/>
            <w:hideMark/>
          </w:tcPr>
          <w:p w14:paraId="4E38BB9F" w14:textId="77777777" w:rsidR="00807A8E" w:rsidRPr="001B0B69" w:rsidRDefault="00807A8E" w:rsidP="00003EAB">
            <w:pPr>
              <w:pStyle w:val="BodyText"/>
              <w:jc w:val="center"/>
              <w:rPr>
                <w:b/>
                <w:sz w:val="22"/>
                <w:szCs w:val="22"/>
                <w:lang w:val="en-US"/>
              </w:rPr>
            </w:pPr>
            <w:r w:rsidRPr="001B0B69">
              <w:rPr>
                <w:b/>
                <w:sz w:val="22"/>
                <w:szCs w:val="22"/>
                <w:lang w:val="en-US"/>
              </w:rPr>
              <w:t>Statement Item</w:t>
            </w:r>
          </w:p>
        </w:tc>
        <w:tc>
          <w:tcPr>
            <w:tcW w:w="2835" w:type="dxa"/>
            <w:vAlign w:val="center"/>
            <w:hideMark/>
          </w:tcPr>
          <w:p w14:paraId="718292C8" w14:textId="3AAC786E" w:rsidR="00807A8E" w:rsidRPr="001B0B69" w:rsidRDefault="001B0B69" w:rsidP="00003EAB">
            <w:pPr>
              <w:pStyle w:val="BodyText"/>
              <w:jc w:val="center"/>
              <w:rPr>
                <w:b/>
                <w:i/>
                <w:iCs/>
                <w:sz w:val="22"/>
                <w:szCs w:val="22"/>
                <w:lang w:val="en-US"/>
              </w:rPr>
            </w:pPr>
            <w:r w:rsidRPr="001B0B69">
              <w:rPr>
                <w:b/>
                <w:i/>
                <w:iCs/>
                <w:sz w:val="22"/>
                <w:szCs w:val="22"/>
                <w:lang w:val="en-US"/>
              </w:rPr>
              <w:t>Cronbach’s</w:t>
            </w:r>
            <w:r w:rsidR="00807A8E" w:rsidRPr="001B0B69">
              <w:rPr>
                <w:b/>
                <w:i/>
                <w:iCs/>
                <w:sz w:val="22"/>
                <w:szCs w:val="22"/>
                <w:lang w:val="en-US"/>
              </w:rPr>
              <w:t xml:space="preserve"> Alpha</w:t>
            </w:r>
          </w:p>
        </w:tc>
        <w:tc>
          <w:tcPr>
            <w:tcW w:w="1275" w:type="dxa"/>
            <w:vAlign w:val="center"/>
            <w:hideMark/>
          </w:tcPr>
          <w:p w14:paraId="3946028F" w14:textId="77777777" w:rsidR="00807A8E" w:rsidRPr="001B0B69" w:rsidRDefault="00807A8E" w:rsidP="00003EAB">
            <w:pPr>
              <w:pStyle w:val="BodyText"/>
              <w:jc w:val="center"/>
              <w:rPr>
                <w:b/>
                <w:sz w:val="22"/>
                <w:szCs w:val="22"/>
                <w:lang w:val="en-US"/>
              </w:rPr>
            </w:pPr>
            <w:r w:rsidRPr="001B0B69">
              <w:rPr>
                <w:b/>
                <w:sz w:val="22"/>
                <w:szCs w:val="22"/>
                <w:lang w:val="en-US"/>
              </w:rPr>
              <w:t>Information</w:t>
            </w:r>
          </w:p>
        </w:tc>
      </w:tr>
      <w:tr w:rsidR="00807A8E" w:rsidRPr="001B0B69" w14:paraId="4E5B5205" w14:textId="77777777" w:rsidTr="001B5F36">
        <w:trPr>
          <w:trHeight w:val="276"/>
          <w:jc w:val="center"/>
        </w:trPr>
        <w:tc>
          <w:tcPr>
            <w:tcW w:w="2877" w:type="dxa"/>
            <w:hideMark/>
          </w:tcPr>
          <w:p w14:paraId="32F66FEB" w14:textId="77777777" w:rsidR="00807A8E" w:rsidRPr="001B0B69" w:rsidRDefault="00807A8E" w:rsidP="00003EAB">
            <w:pPr>
              <w:pStyle w:val="BodyText"/>
              <w:jc w:val="center"/>
              <w:rPr>
                <w:sz w:val="22"/>
                <w:szCs w:val="22"/>
                <w:lang w:val="en-US"/>
              </w:rPr>
            </w:pPr>
            <w:r w:rsidRPr="001B0B69">
              <w:rPr>
                <w:sz w:val="22"/>
                <w:szCs w:val="22"/>
                <w:lang w:val="en-US"/>
              </w:rPr>
              <w:t>Managerial Performance (Y)</w:t>
            </w:r>
          </w:p>
        </w:tc>
        <w:tc>
          <w:tcPr>
            <w:tcW w:w="2080" w:type="dxa"/>
            <w:vAlign w:val="center"/>
            <w:hideMark/>
          </w:tcPr>
          <w:p w14:paraId="333052FA" w14:textId="77777777" w:rsidR="00807A8E" w:rsidRPr="001B0B69" w:rsidRDefault="00807A8E" w:rsidP="00003EAB">
            <w:pPr>
              <w:pStyle w:val="BodyText"/>
              <w:jc w:val="center"/>
              <w:rPr>
                <w:sz w:val="22"/>
                <w:szCs w:val="22"/>
                <w:lang w:val="en-US"/>
              </w:rPr>
            </w:pPr>
            <w:r w:rsidRPr="001B0B69">
              <w:rPr>
                <w:sz w:val="22"/>
                <w:szCs w:val="22"/>
                <w:lang w:val="en-US"/>
              </w:rPr>
              <w:t>8</w:t>
            </w:r>
          </w:p>
        </w:tc>
        <w:tc>
          <w:tcPr>
            <w:tcW w:w="2835" w:type="dxa"/>
            <w:vAlign w:val="center"/>
            <w:hideMark/>
          </w:tcPr>
          <w:p w14:paraId="5FEC1B08" w14:textId="77777777" w:rsidR="00807A8E" w:rsidRPr="001B0B69" w:rsidRDefault="00807A8E" w:rsidP="00003EAB">
            <w:pPr>
              <w:pStyle w:val="BodyText"/>
              <w:jc w:val="center"/>
              <w:rPr>
                <w:sz w:val="22"/>
                <w:szCs w:val="22"/>
                <w:lang w:val="en-US"/>
              </w:rPr>
            </w:pPr>
            <w:r w:rsidRPr="001B0B69">
              <w:rPr>
                <w:sz w:val="22"/>
                <w:szCs w:val="22"/>
                <w:lang w:val="en-US"/>
              </w:rPr>
              <w:t>0,836</w:t>
            </w:r>
          </w:p>
        </w:tc>
        <w:tc>
          <w:tcPr>
            <w:tcW w:w="1275" w:type="dxa"/>
            <w:vAlign w:val="center"/>
            <w:hideMark/>
          </w:tcPr>
          <w:p w14:paraId="7FD5F66B" w14:textId="3E56B8EE" w:rsidR="00807A8E" w:rsidRPr="001B0B69" w:rsidRDefault="001B0B69" w:rsidP="00003EAB">
            <w:pPr>
              <w:pStyle w:val="BodyText"/>
              <w:jc w:val="center"/>
              <w:rPr>
                <w:sz w:val="22"/>
                <w:szCs w:val="22"/>
                <w:lang w:val="en-US"/>
              </w:rPr>
            </w:pPr>
            <w:r w:rsidRPr="001B0B69">
              <w:rPr>
                <w:sz w:val="22"/>
                <w:szCs w:val="22"/>
                <w:lang w:val="en-US"/>
              </w:rPr>
              <w:t>Reliable</w:t>
            </w:r>
          </w:p>
        </w:tc>
      </w:tr>
      <w:tr w:rsidR="00807A8E" w:rsidRPr="001B0B69" w14:paraId="7E98939E" w14:textId="77777777" w:rsidTr="001B5F36">
        <w:trPr>
          <w:trHeight w:val="275"/>
          <w:jc w:val="center"/>
        </w:trPr>
        <w:tc>
          <w:tcPr>
            <w:tcW w:w="2877" w:type="dxa"/>
            <w:hideMark/>
          </w:tcPr>
          <w:p w14:paraId="20665A11" w14:textId="77777777" w:rsidR="00807A8E" w:rsidRPr="001B0B69" w:rsidRDefault="00807A8E" w:rsidP="00003EAB">
            <w:pPr>
              <w:pStyle w:val="BodyText"/>
              <w:jc w:val="center"/>
              <w:rPr>
                <w:sz w:val="22"/>
                <w:szCs w:val="22"/>
                <w:lang w:val="en-US"/>
              </w:rPr>
            </w:pPr>
            <w:r w:rsidRPr="001B0B69">
              <w:rPr>
                <w:sz w:val="22"/>
                <w:szCs w:val="22"/>
                <w:lang w:val="en-US"/>
              </w:rPr>
              <w:t>Budget Participation (X1)</w:t>
            </w:r>
          </w:p>
        </w:tc>
        <w:tc>
          <w:tcPr>
            <w:tcW w:w="2080" w:type="dxa"/>
            <w:vAlign w:val="center"/>
            <w:hideMark/>
          </w:tcPr>
          <w:p w14:paraId="119A0643" w14:textId="77777777" w:rsidR="00807A8E" w:rsidRPr="001B0B69" w:rsidRDefault="00807A8E" w:rsidP="00003EAB">
            <w:pPr>
              <w:pStyle w:val="BodyText"/>
              <w:jc w:val="center"/>
              <w:rPr>
                <w:sz w:val="22"/>
                <w:szCs w:val="22"/>
                <w:lang w:val="en-US"/>
              </w:rPr>
            </w:pPr>
            <w:r w:rsidRPr="001B0B69">
              <w:rPr>
                <w:sz w:val="22"/>
                <w:szCs w:val="22"/>
                <w:lang w:val="en-US"/>
              </w:rPr>
              <w:t>6</w:t>
            </w:r>
          </w:p>
        </w:tc>
        <w:tc>
          <w:tcPr>
            <w:tcW w:w="2835" w:type="dxa"/>
            <w:vAlign w:val="center"/>
            <w:hideMark/>
          </w:tcPr>
          <w:p w14:paraId="5CEEE1C6" w14:textId="77777777" w:rsidR="00807A8E" w:rsidRPr="001B0B69" w:rsidRDefault="00807A8E" w:rsidP="00003EAB">
            <w:pPr>
              <w:pStyle w:val="BodyText"/>
              <w:jc w:val="center"/>
              <w:rPr>
                <w:sz w:val="22"/>
                <w:szCs w:val="22"/>
                <w:lang w:val="en-US"/>
              </w:rPr>
            </w:pPr>
            <w:r w:rsidRPr="001B0B69">
              <w:rPr>
                <w:sz w:val="22"/>
                <w:szCs w:val="22"/>
                <w:lang w:val="en-US"/>
              </w:rPr>
              <w:t>0,831</w:t>
            </w:r>
          </w:p>
        </w:tc>
        <w:tc>
          <w:tcPr>
            <w:tcW w:w="1275" w:type="dxa"/>
            <w:vAlign w:val="center"/>
            <w:hideMark/>
          </w:tcPr>
          <w:p w14:paraId="535853ED" w14:textId="6C61C89F" w:rsidR="00807A8E" w:rsidRPr="001B0B69" w:rsidRDefault="001B0B69" w:rsidP="00003EAB">
            <w:pPr>
              <w:pStyle w:val="BodyText"/>
              <w:jc w:val="center"/>
              <w:rPr>
                <w:sz w:val="22"/>
                <w:szCs w:val="22"/>
                <w:lang w:val="en-US"/>
              </w:rPr>
            </w:pPr>
            <w:r w:rsidRPr="001B0B69">
              <w:rPr>
                <w:sz w:val="22"/>
                <w:szCs w:val="22"/>
                <w:lang w:val="en-US"/>
              </w:rPr>
              <w:t>Reliable</w:t>
            </w:r>
          </w:p>
        </w:tc>
      </w:tr>
      <w:tr w:rsidR="00807A8E" w:rsidRPr="001B0B69" w14:paraId="52332142" w14:textId="77777777" w:rsidTr="001B5F36">
        <w:trPr>
          <w:trHeight w:val="276"/>
          <w:jc w:val="center"/>
        </w:trPr>
        <w:tc>
          <w:tcPr>
            <w:tcW w:w="2877" w:type="dxa"/>
            <w:hideMark/>
          </w:tcPr>
          <w:p w14:paraId="3E642383" w14:textId="77777777" w:rsidR="00807A8E" w:rsidRPr="001B0B69" w:rsidRDefault="00807A8E" w:rsidP="00003EAB">
            <w:pPr>
              <w:pStyle w:val="BodyText"/>
              <w:jc w:val="center"/>
              <w:rPr>
                <w:sz w:val="22"/>
                <w:szCs w:val="22"/>
                <w:lang w:val="en-US"/>
              </w:rPr>
            </w:pPr>
            <w:r w:rsidRPr="001B0B69">
              <w:rPr>
                <w:sz w:val="22"/>
                <w:szCs w:val="22"/>
                <w:lang w:val="en-US"/>
              </w:rPr>
              <w:t>Motivation (X2)</w:t>
            </w:r>
          </w:p>
        </w:tc>
        <w:tc>
          <w:tcPr>
            <w:tcW w:w="2080" w:type="dxa"/>
            <w:vAlign w:val="center"/>
            <w:hideMark/>
          </w:tcPr>
          <w:p w14:paraId="22B33009" w14:textId="77777777" w:rsidR="00807A8E" w:rsidRPr="001B0B69" w:rsidRDefault="00807A8E" w:rsidP="00003EAB">
            <w:pPr>
              <w:pStyle w:val="BodyText"/>
              <w:jc w:val="center"/>
              <w:rPr>
                <w:sz w:val="22"/>
                <w:szCs w:val="22"/>
                <w:lang w:val="en-US"/>
              </w:rPr>
            </w:pPr>
            <w:r w:rsidRPr="001B0B69">
              <w:rPr>
                <w:sz w:val="22"/>
                <w:szCs w:val="22"/>
                <w:lang w:val="en-US"/>
              </w:rPr>
              <w:t>6</w:t>
            </w:r>
          </w:p>
        </w:tc>
        <w:tc>
          <w:tcPr>
            <w:tcW w:w="2835" w:type="dxa"/>
            <w:vAlign w:val="center"/>
            <w:hideMark/>
          </w:tcPr>
          <w:p w14:paraId="4F467BC5" w14:textId="77777777" w:rsidR="00807A8E" w:rsidRPr="001B0B69" w:rsidRDefault="00807A8E" w:rsidP="00003EAB">
            <w:pPr>
              <w:pStyle w:val="BodyText"/>
              <w:jc w:val="center"/>
              <w:rPr>
                <w:sz w:val="22"/>
                <w:szCs w:val="22"/>
                <w:lang w:val="en-US"/>
              </w:rPr>
            </w:pPr>
            <w:r w:rsidRPr="001B0B69">
              <w:rPr>
                <w:sz w:val="22"/>
                <w:szCs w:val="22"/>
                <w:lang w:val="en-US"/>
              </w:rPr>
              <w:t>0,930</w:t>
            </w:r>
          </w:p>
        </w:tc>
        <w:tc>
          <w:tcPr>
            <w:tcW w:w="1275" w:type="dxa"/>
            <w:vAlign w:val="center"/>
            <w:hideMark/>
          </w:tcPr>
          <w:p w14:paraId="5E071EBD" w14:textId="6CC34D8C" w:rsidR="00807A8E" w:rsidRPr="001B0B69" w:rsidRDefault="001B0B69" w:rsidP="00003EAB">
            <w:pPr>
              <w:pStyle w:val="BodyText"/>
              <w:jc w:val="center"/>
              <w:rPr>
                <w:sz w:val="22"/>
                <w:szCs w:val="22"/>
                <w:lang w:val="en-US"/>
              </w:rPr>
            </w:pPr>
            <w:r w:rsidRPr="001B0B69">
              <w:rPr>
                <w:sz w:val="22"/>
                <w:szCs w:val="22"/>
                <w:lang w:val="en-US"/>
              </w:rPr>
              <w:t>Reliable</w:t>
            </w:r>
          </w:p>
        </w:tc>
      </w:tr>
      <w:tr w:rsidR="00807A8E" w:rsidRPr="001B0B69" w14:paraId="41EB9213" w14:textId="77777777" w:rsidTr="001B5F36">
        <w:trPr>
          <w:trHeight w:val="275"/>
          <w:jc w:val="center"/>
        </w:trPr>
        <w:tc>
          <w:tcPr>
            <w:tcW w:w="2877" w:type="dxa"/>
            <w:hideMark/>
          </w:tcPr>
          <w:p w14:paraId="0E8FD0B3" w14:textId="77777777" w:rsidR="00807A8E" w:rsidRPr="001B0B69" w:rsidRDefault="00807A8E" w:rsidP="00003EAB">
            <w:pPr>
              <w:pStyle w:val="BodyText"/>
              <w:jc w:val="center"/>
              <w:rPr>
                <w:sz w:val="22"/>
                <w:szCs w:val="22"/>
                <w:lang w:val="en-US"/>
              </w:rPr>
            </w:pPr>
            <w:r w:rsidRPr="001B0B69">
              <w:rPr>
                <w:sz w:val="22"/>
                <w:szCs w:val="22"/>
                <w:lang w:val="en-US"/>
              </w:rPr>
              <w:t>Competencies (X3)</w:t>
            </w:r>
          </w:p>
        </w:tc>
        <w:tc>
          <w:tcPr>
            <w:tcW w:w="2080" w:type="dxa"/>
            <w:vAlign w:val="center"/>
            <w:hideMark/>
          </w:tcPr>
          <w:p w14:paraId="3E460FD6" w14:textId="77777777" w:rsidR="00807A8E" w:rsidRPr="001B0B69" w:rsidRDefault="00807A8E" w:rsidP="00003EAB">
            <w:pPr>
              <w:pStyle w:val="BodyText"/>
              <w:jc w:val="center"/>
              <w:rPr>
                <w:sz w:val="22"/>
                <w:szCs w:val="22"/>
                <w:lang w:val="en-US"/>
              </w:rPr>
            </w:pPr>
            <w:r w:rsidRPr="001B0B69">
              <w:rPr>
                <w:sz w:val="22"/>
                <w:szCs w:val="22"/>
                <w:lang w:val="en-US"/>
              </w:rPr>
              <w:t>8</w:t>
            </w:r>
          </w:p>
        </w:tc>
        <w:tc>
          <w:tcPr>
            <w:tcW w:w="2835" w:type="dxa"/>
            <w:vAlign w:val="center"/>
            <w:hideMark/>
          </w:tcPr>
          <w:p w14:paraId="20DA500C" w14:textId="77777777" w:rsidR="00807A8E" w:rsidRPr="001B0B69" w:rsidRDefault="00807A8E" w:rsidP="00003EAB">
            <w:pPr>
              <w:pStyle w:val="BodyText"/>
              <w:jc w:val="center"/>
              <w:rPr>
                <w:sz w:val="22"/>
                <w:szCs w:val="22"/>
                <w:lang w:val="en-US"/>
              </w:rPr>
            </w:pPr>
            <w:r w:rsidRPr="001B0B69">
              <w:rPr>
                <w:sz w:val="22"/>
                <w:szCs w:val="22"/>
                <w:lang w:val="en-US"/>
              </w:rPr>
              <w:t>0,942</w:t>
            </w:r>
          </w:p>
        </w:tc>
        <w:tc>
          <w:tcPr>
            <w:tcW w:w="1275" w:type="dxa"/>
            <w:vAlign w:val="center"/>
            <w:hideMark/>
          </w:tcPr>
          <w:p w14:paraId="723DA4E3" w14:textId="067002E1" w:rsidR="00807A8E" w:rsidRPr="001B0B69" w:rsidRDefault="001B0B69" w:rsidP="00003EAB">
            <w:pPr>
              <w:pStyle w:val="BodyText"/>
              <w:jc w:val="center"/>
              <w:rPr>
                <w:sz w:val="22"/>
                <w:szCs w:val="22"/>
                <w:lang w:val="en-US"/>
              </w:rPr>
            </w:pPr>
            <w:r w:rsidRPr="001B0B69">
              <w:rPr>
                <w:sz w:val="22"/>
                <w:szCs w:val="22"/>
                <w:lang w:val="en-US"/>
              </w:rPr>
              <w:t>Reliable</w:t>
            </w:r>
          </w:p>
        </w:tc>
      </w:tr>
    </w:tbl>
    <w:p w14:paraId="567417BE" w14:textId="16E5D06C" w:rsidR="00807A8E" w:rsidRPr="001B0B69" w:rsidRDefault="00807A8E" w:rsidP="00003EAB">
      <w:pPr>
        <w:spacing w:line="276" w:lineRule="auto"/>
        <w:jc w:val="center"/>
        <w:rPr>
          <w:color w:val="000000" w:themeColor="text1"/>
        </w:rPr>
      </w:pPr>
      <w:r w:rsidRPr="001B0B69">
        <w:rPr>
          <w:color w:val="000000" w:themeColor="text1"/>
        </w:rPr>
        <w:t>Source: SPSS appendix processed by the researcher from appendix p. 124</w:t>
      </w:r>
    </w:p>
    <w:p w14:paraId="043B8418" w14:textId="77777777" w:rsidR="006B354F" w:rsidRPr="001B0B69" w:rsidRDefault="006B354F" w:rsidP="00807A8E">
      <w:pPr>
        <w:spacing w:line="276" w:lineRule="auto"/>
        <w:ind w:firstLine="709"/>
        <w:rPr>
          <w:color w:val="000000" w:themeColor="text1"/>
        </w:rPr>
      </w:pPr>
    </w:p>
    <w:p w14:paraId="3EBFB3C8" w14:textId="1B3FAC2A" w:rsidR="00807A8E" w:rsidRPr="001B0B69" w:rsidRDefault="00807A8E" w:rsidP="00807A8E">
      <w:pPr>
        <w:spacing w:line="276" w:lineRule="auto"/>
        <w:ind w:firstLine="709"/>
        <w:rPr>
          <w:color w:val="000000" w:themeColor="text1"/>
        </w:rPr>
      </w:pPr>
      <w:r w:rsidRPr="001B0B69">
        <w:rPr>
          <w:color w:val="000000" w:themeColor="text1"/>
        </w:rPr>
        <w:t xml:space="preserve">The results of the realism test presented in table </w:t>
      </w:r>
      <w:r w:rsidR="006E796F" w:rsidRPr="001B0B69">
        <w:rPr>
          <w:color w:val="000000" w:themeColor="text1"/>
        </w:rPr>
        <w:t>4</w:t>
      </w:r>
      <w:r w:rsidRPr="001B0B69">
        <w:rPr>
          <w:color w:val="000000" w:themeColor="text1"/>
        </w:rPr>
        <w:t xml:space="preserve"> above show that </w:t>
      </w:r>
      <w:r w:rsidR="001B0B69" w:rsidRPr="001B0B69">
        <w:rPr>
          <w:color w:val="000000" w:themeColor="text1"/>
        </w:rPr>
        <w:t>Cronbach’s</w:t>
      </w:r>
      <w:r w:rsidRPr="001B0B69">
        <w:rPr>
          <w:color w:val="000000" w:themeColor="text1"/>
        </w:rPr>
        <w:t xml:space="preserve"> Alpha of each variable is greater than 0.6, so that the questionnaire used is declared reliable or trustworthy as a variable measuring tool.</w:t>
      </w:r>
    </w:p>
    <w:p w14:paraId="06BC8809" w14:textId="77777777" w:rsidR="006E796F" w:rsidRPr="001B0B69" w:rsidRDefault="006E796F" w:rsidP="00807A8E">
      <w:pPr>
        <w:spacing w:line="276" w:lineRule="auto"/>
        <w:ind w:firstLine="709"/>
        <w:rPr>
          <w:color w:val="000000" w:themeColor="text1"/>
        </w:rPr>
      </w:pPr>
    </w:p>
    <w:p w14:paraId="5B60DEBD" w14:textId="77359829" w:rsidR="00807A8E" w:rsidRPr="001B0B69" w:rsidRDefault="00807A8E" w:rsidP="00003EAB">
      <w:pPr>
        <w:spacing w:line="276" w:lineRule="auto"/>
        <w:rPr>
          <w:b/>
          <w:bCs/>
          <w:color w:val="000000" w:themeColor="text1"/>
        </w:rPr>
      </w:pPr>
      <w:r w:rsidRPr="001B0B69">
        <w:rPr>
          <w:b/>
          <w:bCs/>
          <w:color w:val="000000" w:themeColor="text1"/>
        </w:rPr>
        <w:t xml:space="preserve">Classic Assumption Test </w:t>
      </w:r>
    </w:p>
    <w:p w14:paraId="2E4DE5C2" w14:textId="3EA626A6" w:rsidR="00807A8E" w:rsidRPr="001B0B69" w:rsidRDefault="00807A8E" w:rsidP="006E796F">
      <w:pPr>
        <w:spacing w:line="276" w:lineRule="auto"/>
        <w:ind w:firstLine="709"/>
        <w:rPr>
          <w:b/>
          <w:bCs/>
          <w:i/>
          <w:iCs/>
          <w:color w:val="000000" w:themeColor="text1"/>
        </w:rPr>
      </w:pPr>
      <w:r w:rsidRPr="001B0B69">
        <w:rPr>
          <w:b/>
          <w:bCs/>
          <w:i/>
          <w:iCs/>
          <w:color w:val="000000" w:themeColor="text1"/>
        </w:rPr>
        <w:t>Normality Test</w:t>
      </w:r>
    </w:p>
    <w:p w14:paraId="7D7408EF" w14:textId="77777777" w:rsidR="00807A8E" w:rsidRPr="001B0B69" w:rsidRDefault="00807A8E" w:rsidP="00807A8E">
      <w:pPr>
        <w:spacing w:line="276" w:lineRule="auto"/>
        <w:ind w:firstLine="709"/>
        <w:rPr>
          <w:color w:val="000000" w:themeColor="text1"/>
        </w:rPr>
      </w:pPr>
      <w:r w:rsidRPr="001B0B69">
        <w:rPr>
          <w:color w:val="000000" w:themeColor="text1"/>
        </w:rPr>
        <w:t>The Normality Test aims to test whether in the regression model, the disruptive or residual variables have a normal distribution. Normality testing can be done with the Kolmogorov-Smirnov (K-S) sample test. The basis for decision-making in determining whether the sample is normally or abnormally distributed, that is, if the significance value is greater than 0.05, then the sample is said to be normally distributed.</w:t>
      </w:r>
    </w:p>
    <w:p w14:paraId="1B0EE8FC" w14:textId="77777777" w:rsidR="006B354F" w:rsidRPr="001B0B69" w:rsidRDefault="006B354F" w:rsidP="00003EAB">
      <w:pPr>
        <w:spacing w:line="240" w:lineRule="auto"/>
        <w:jc w:val="center"/>
        <w:rPr>
          <w:color w:val="000000" w:themeColor="text1"/>
        </w:rPr>
      </w:pPr>
    </w:p>
    <w:p w14:paraId="7069C64F" w14:textId="7A47442A" w:rsidR="00807A8E" w:rsidRPr="001B0B69" w:rsidRDefault="00807A8E" w:rsidP="00003EAB">
      <w:pPr>
        <w:spacing w:line="240" w:lineRule="auto"/>
        <w:jc w:val="center"/>
        <w:rPr>
          <w:color w:val="000000" w:themeColor="text1"/>
        </w:rPr>
      </w:pPr>
      <w:r w:rsidRPr="001B0B69">
        <w:rPr>
          <w:color w:val="000000" w:themeColor="text1"/>
        </w:rPr>
        <w:t>Table 5.</w:t>
      </w:r>
      <w:r w:rsidR="006E796F" w:rsidRPr="001B0B69">
        <w:rPr>
          <w:color w:val="000000" w:themeColor="text1"/>
        </w:rPr>
        <w:t xml:space="preserve"> </w:t>
      </w:r>
      <w:r w:rsidRPr="001B0B69">
        <w:rPr>
          <w:color w:val="000000" w:themeColor="text1"/>
        </w:rPr>
        <w:t>Residual Normality Test</w:t>
      </w:r>
    </w:p>
    <w:tbl>
      <w:tblPr>
        <w:tblW w:w="737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60"/>
        <w:gridCol w:w="5811"/>
      </w:tblGrid>
      <w:tr w:rsidR="00807A8E" w:rsidRPr="001B0B69" w14:paraId="5D2AECB3" w14:textId="77777777" w:rsidTr="001B5F36">
        <w:trPr>
          <w:trHeight w:val="276"/>
          <w:jc w:val="center"/>
        </w:trPr>
        <w:tc>
          <w:tcPr>
            <w:tcW w:w="1560" w:type="dxa"/>
          </w:tcPr>
          <w:p w14:paraId="1D091005" w14:textId="77777777" w:rsidR="00807A8E" w:rsidRPr="001B0B69" w:rsidRDefault="00807A8E" w:rsidP="00003EAB">
            <w:pPr>
              <w:pStyle w:val="BodyText"/>
              <w:jc w:val="center"/>
              <w:rPr>
                <w:b/>
                <w:bCs/>
                <w:lang w:val="en-US"/>
              </w:rPr>
            </w:pPr>
            <w:r w:rsidRPr="001B0B69">
              <w:rPr>
                <w:b/>
                <w:bCs/>
                <w:lang w:val="en-US"/>
              </w:rPr>
              <w:t>Information</w:t>
            </w:r>
          </w:p>
        </w:tc>
        <w:tc>
          <w:tcPr>
            <w:tcW w:w="5811" w:type="dxa"/>
            <w:hideMark/>
          </w:tcPr>
          <w:p w14:paraId="7FB851E6" w14:textId="6DFBF1D5" w:rsidR="00807A8E" w:rsidRPr="001B0B69" w:rsidRDefault="001B0B69" w:rsidP="00003EAB">
            <w:pPr>
              <w:pStyle w:val="BodyText"/>
              <w:jc w:val="center"/>
              <w:rPr>
                <w:b/>
                <w:lang w:val="en-US"/>
              </w:rPr>
            </w:pPr>
            <w:r w:rsidRPr="001B0B69">
              <w:rPr>
                <w:b/>
                <w:lang w:val="en-US"/>
              </w:rPr>
              <w:t>Kolmogorov</w:t>
            </w:r>
            <w:r w:rsidR="00807A8E" w:rsidRPr="001B0B69">
              <w:rPr>
                <w:b/>
                <w:lang w:val="en-US"/>
              </w:rPr>
              <w:t>-Smirnov</w:t>
            </w:r>
          </w:p>
        </w:tc>
      </w:tr>
      <w:tr w:rsidR="00807A8E" w:rsidRPr="001B0B69" w14:paraId="1A80E2C7" w14:textId="77777777" w:rsidTr="001B5F36">
        <w:trPr>
          <w:trHeight w:val="276"/>
          <w:jc w:val="center"/>
        </w:trPr>
        <w:tc>
          <w:tcPr>
            <w:tcW w:w="1560" w:type="dxa"/>
            <w:hideMark/>
          </w:tcPr>
          <w:p w14:paraId="52C76A84" w14:textId="77777777" w:rsidR="00807A8E" w:rsidRPr="001B0B69" w:rsidRDefault="00807A8E" w:rsidP="00003EAB">
            <w:pPr>
              <w:pStyle w:val="BodyText"/>
              <w:jc w:val="center"/>
              <w:rPr>
                <w:b/>
                <w:lang w:val="en-US"/>
              </w:rPr>
            </w:pPr>
            <w:r w:rsidRPr="001B0B69">
              <w:rPr>
                <w:b/>
                <w:lang w:val="en-US"/>
              </w:rPr>
              <w:t>Statistic</w:t>
            </w:r>
          </w:p>
        </w:tc>
        <w:tc>
          <w:tcPr>
            <w:tcW w:w="5811" w:type="dxa"/>
            <w:hideMark/>
          </w:tcPr>
          <w:p w14:paraId="474E1B7A" w14:textId="77777777" w:rsidR="00807A8E" w:rsidRPr="001B0B69" w:rsidRDefault="00807A8E" w:rsidP="00003EAB">
            <w:pPr>
              <w:pStyle w:val="BodyText"/>
              <w:jc w:val="center"/>
              <w:rPr>
                <w:lang w:val="en-US"/>
              </w:rPr>
            </w:pPr>
            <w:r w:rsidRPr="001B0B69">
              <w:rPr>
                <w:lang w:val="en-US"/>
              </w:rPr>
              <w:t>0,155</w:t>
            </w:r>
          </w:p>
        </w:tc>
      </w:tr>
      <w:tr w:rsidR="00807A8E" w:rsidRPr="001B0B69" w14:paraId="4EA8D278" w14:textId="77777777" w:rsidTr="001B5F36">
        <w:trPr>
          <w:trHeight w:val="276"/>
          <w:jc w:val="center"/>
        </w:trPr>
        <w:tc>
          <w:tcPr>
            <w:tcW w:w="1560" w:type="dxa"/>
            <w:hideMark/>
          </w:tcPr>
          <w:p w14:paraId="5D889C65" w14:textId="77777777" w:rsidR="00807A8E" w:rsidRPr="001B0B69" w:rsidRDefault="00807A8E" w:rsidP="00003EAB">
            <w:pPr>
              <w:pStyle w:val="BodyText"/>
              <w:jc w:val="center"/>
              <w:rPr>
                <w:b/>
                <w:lang w:val="en-US"/>
              </w:rPr>
            </w:pPr>
            <w:r w:rsidRPr="001B0B69">
              <w:rPr>
                <w:b/>
                <w:lang w:val="en-US"/>
              </w:rPr>
              <w:t>df</w:t>
            </w:r>
          </w:p>
        </w:tc>
        <w:tc>
          <w:tcPr>
            <w:tcW w:w="5811" w:type="dxa"/>
            <w:hideMark/>
          </w:tcPr>
          <w:p w14:paraId="5CE4C00E" w14:textId="77777777" w:rsidR="00807A8E" w:rsidRPr="001B0B69" w:rsidRDefault="00807A8E" w:rsidP="00003EAB">
            <w:pPr>
              <w:pStyle w:val="BodyText"/>
              <w:jc w:val="center"/>
              <w:rPr>
                <w:lang w:val="en-US"/>
              </w:rPr>
            </w:pPr>
            <w:r w:rsidRPr="001B0B69">
              <w:rPr>
                <w:lang w:val="en-US"/>
              </w:rPr>
              <w:t>33</w:t>
            </w:r>
          </w:p>
        </w:tc>
      </w:tr>
      <w:tr w:rsidR="00807A8E" w:rsidRPr="001B0B69" w14:paraId="2D18C798" w14:textId="77777777" w:rsidTr="001B5F36">
        <w:trPr>
          <w:trHeight w:val="276"/>
          <w:jc w:val="center"/>
        </w:trPr>
        <w:tc>
          <w:tcPr>
            <w:tcW w:w="1560" w:type="dxa"/>
            <w:hideMark/>
          </w:tcPr>
          <w:p w14:paraId="3D9F2953" w14:textId="77777777" w:rsidR="00807A8E" w:rsidRPr="001B0B69" w:rsidRDefault="00807A8E" w:rsidP="00003EAB">
            <w:pPr>
              <w:pStyle w:val="BodyText"/>
              <w:jc w:val="center"/>
              <w:rPr>
                <w:b/>
                <w:lang w:val="en-US"/>
              </w:rPr>
            </w:pPr>
            <w:r w:rsidRPr="001B0B69">
              <w:rPr>
                <w:b/>
                <w:lang w:val="en-US"/>
              </w:rPr>
              <w:t>Sig</w:t>
            </w:r>
          </w:p>
        </w:tc>
        <w:tc>
          <w:tcPr>
            <w:tcW w:w="5811" w:type="dxa"/>
            <w:hideMark/>
          </w:tcPr>
          <w:p w14:paraId="1E0125ED" w14:textId="77777777" w:rsidR="00807A8E" w:rsidRPr="001B0B69" w:rsidRDefault="00807A8E" w:rsidP="00003EAB">
            <w:pPr>
              <w:pStyle w:val="BodyText"/>
              <w:jc w:val="center"/>
              <w:rPr>
                <w:lang w:val="en-US"/>
              </w:rPr>
            </w:pPr>
            <w:r w:rsidRPr="001B0B69">
              <w:rPr>
                <w:lang w:val="en-US"/>
              </w:rPr>
              <w:t>0,043</w:t>
            </w:r>
          </w:p>
        </w:tc>
      </w:tr>
      <w:tr w:rsidR="00807A8E" w:rsidRPr="001B0B69" w14:paraId="25EE126B" w14:textId="77777777" w:rsidTr="001B5F36">
        <w:trPr>
          <w:trHeight w:val="276"/>
          <w:jc w:val="center"/>
        </w:trPr>
        <w:tc>
          <w:tcPr>
            <w:tcW w:w="1560" w:type="dxa"/>
            <w:hideMark/>
          </w:tcPr>
          <w:p w14:paraId="2AADEB89" w14:textId="77777777" w:rsidR="00807A8E" w:rsidRPr="001B0B69" w:rsidRDefault="00807A8E" w:rsidP="00003EAB">
            <w:pPr>
              <w:pStyle w:val="BodyText"/>
              <w:jc w:val="center"/>
              <w:rPr>
                <w:b/>
                <w:lang w:val="en-US"/>
              </w:rPr>
            </w:pPr>
            <w:r w:rsidRPr="001B0B69">
              <w:rPr>
                <w:b/>
                <w:lang w:val="en-US"/>
              </w:rPr>
              <w:t>Information</w:t>
            </w:r>
          </w:p>
        </w:tc>
        <w:tc>
          <w:tcPr>
            <w:tcW w:w="5811" w:type="dxa"/>
            <w:hideMark/>
          </w:tcPr>
          <w:p w14:paraId="6D31AE06" w14:textId="77777777" w:rsidR="00807A8E" w:rsidRPr="001B0B69" w:rsidRDefault="00807A8E" w:rsidP="00003EAB">
            <w:pPr>
              <w:pStyle w:val="BodyText"/>
              <w:jc w:val="center"/>
              <w:rPr>
                <w:lang w:val="en-US"/>
              </w:rPr>
            </w:pPr>
            <w:r w:rsidRPr="001B0B69">
              <w:rPr>
                <w:lang w:val="en-US"/>
              </w:rPr>
              <w:t>Not meeting</w:t>
            </w:r>
          </w:p>
        </w:tc>
      </w:tr>
      <w:tr w:rsidR="00807A8E" w:rsidRPr="001B0B69" w14:paraId="354BEC1A" w14:textId="77777777" w:rsidTr="001B5F36">
        <w:trPr>
          <w:trHeight w:val="213"/>
          <w:jc w:val="center"/>
        </w:trPr>
        <w:tc>
          <w:tcPr>
            <w:tcW w:w="7371" w:type="dxa"/>
            <w:gridSpan w:val="2"/>
            <w:hideMark/>
          </w:tcPr>
          <w:p w14:paraId="39455EA0" w14:textId="77777777" w:rsidR="00807A8E" w:rsidRPr="001B0B69" w:rsidRDefault="00807A8E" w:rsidP="00003EAB">
            <w:pPr>
              <w:pStyle w:val="BodyText"/>
              <w:jc w:val="center"/>
              <w:rPr>
                <w:lang w:val="en-US"/>
              </w:rPr>
            </w:pPr>
            <w:r w:rsidRPr="001B0B69">
              <w:rPr>
                <w:i/>
                <w:lang w:val="en-US"/>
              </w:rPr>
              <w:t>Source: SPSS appendix processed by the researcher from appendix p. 128</w:t>
            </w:r>
          </w:p>
        </w:tc>
      </w:tr>
    </w:tbl>
    <w:p w14:paraId="53BE0731" w14:textId="77777777" w:rsidR="006B354F" w:rsidRPr="001B0B69" w:rsidRDefault="006B354F" w:rsidP="00807A8E">
      <w:pPr>
        <w:spacing w:line="276" w:lineRule="auto"/>
        <w:ind w:firstLine="709"/>
        <w:rPr>
          <w:color w:val="000000" w:themeColor="text1"/>
        </w:rPr>
      </w:pPr>
    </w:p>
    <w:p w14:paraId="0C87184A" w14:textId="260CCA6A" w:rsidR="00807A8E" w:rsidRPr="001B0B69" w:rsidRDefault="00807A8E" w:rsidP="00807A8E">
      <w:pPr>
        <w:spacing w:line="276" w:lineRule="auto"/>
        <w:ind w:firstLine="709"/>
        <w:rPr>
          <w:color w:val="000000" w:themeColor="text1"/>
        </w:rPr>
      </w:pPr>
      <w:r w:rsidRPr="001B0B69">
        <w:rPr>
          <w:color w:val="000000" w:themeColor="text1"/>
        </w:rPr>
        <w:t xml:space="preserve">Table </w:t>
      </w:r>
      <w:r w:rsidR="006E796F" w:rsidRPr="001B0B69">
        <w:rPr>
          <w:color w:val="000000" w:themeColor="text1"/>
        </w:rPr>
        <w:t>5</w:t>
      </w:r>
      <w:r w:rsidRPr="001B0B69">
        <w:rPr>
          <w:color w:val="000000" w:themeColor="text1"/>
        </w:rPr>
        <w:t xml:space="preserve"> showed that in the Kolmogorov-Smirnov (Lilliefors) normality test, a p-value of 0.043 &lt; (0.05) was obtained, and Shapiro Wilk with a p-value of 0.000 &lt; (0.05), thus minus Ho, in other words the residual data was not normally distributed. Therefore, a transformation was carried out on the dependent variable (Y) so that the residual data meets the assumption of normality. The results of the normality test on the square transformation (R2) are as follows:</w:t>
      </w:r>
    </w:p>
    <w:p w14:paraId="38EB458A" w14:textId="77777777" w:rsidR="006B354F" w:rsidRPr="001B0B69" w:rsidRDefault="006B354F" w:rsidP="00807A8E">
      <w:pPr>
        <w:spacing w:line="276" w:lineRule="auto"/>
        <w:ind w:firstLine="709"/>
        <w:rPr>
          <w:color w:val="000000" w:themeColor="text1"/>
        </w:rPr>
      </w:pPr>
    </w:p>
    <w:p w14:paraId="5F621EEB" w14:textId="3C26D5F7" w:rsidR="00807A8E" w:rsidRPr="001B0B69" w:rsidRDefault="00807A8E" w:rsidP="00807A8E">
      <w:pPr>
        <w:spacing w:line="276" w:lineRule="auto"/>
        <w:ind w:firstLine="709"/>
        <w:rPr>
          <w:color w:val="000000" w:themeColor="text1"/>
        </w:rPr>
      </w:pPr>
      <w:r w:rsidRPr="001B0B69">
        <w:rPr>
          <w:color w:val="000000" w:themeColor="text1"/>
        </w:rPr>
        <w:t xml:space="preserve">Table </w:t>
      </w:r>
      <w:r w:rsidR="006E796F" w:rsidRPr="001B0B69">
        <w:rPr>
          <w:color w:val="000000" w:themeColor="text1"/>
        </w:rPr>
        <w:t>6</w:t>
      </w:r>
      <w:r w:rsidRPr="001B0B69">
        <w:rPr>
          <w:color w:val="000000" w:themeColor="text1"/>
        </w:rPr>
        <w:t>. Normality Test Results After Transformation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5098"/>
      </w:tblGrid>
      <w:tr w:rsidR="00807A8E" w:rsidRPr="001B0B69" w14:paraId="32676DC8" w14:textId="77777777" w:rsidTr="001B5F36">
        <w:trPr>
          <w:trHeight w:val="276"/>
          <w:jc w:val="center"/>
        </w:trPr>
        <w:tc>
          <w:tcPr>
            <w:tcW w:w="1985" w:type="dxa"/>
            <w:tcBorders>
              <w:top w:val="single" w:sz="4" w:space="0" w:color="auto"/>
              <w:left w:val="nil"/>
              <w:bottom w:val="single" w:sz="4" w:space="0" w:color="auto"/>
              <w:right w:val="nil"/>
            </w:tcBorders>
            <w:vAlign w:val="center"/>
            <w:hideMark/>
          </w:tcPr>
          <w:p w14:paraId="2CB109AC" w14:textId="77777777" w:rsidR="00807A8E" w:rsidRPr="001B0B69" w:rsidRDefault="00807A8E" w:rsidP="00EF4B7A">
            <w:pPr>
              <w:pStyle w:val="BodyText"/>
              <w:jc w:val="center"/>
              <w:rPr>
                <w:b/>
                <w:bCs/>
                <w:sz w:val="22"/>
                <w:szCs w:val="22"/>
                <w:lang w:val="en-US"/>
              </w:rPr>
            </w:pPr>
            <w:r w:rsidRPr="001B0B69">
              <w:rPr>
                <w:b/>
                <w:bCs/>
                <w:sz w:val="22"/>
                <w:szCs w:val="22"/>
                <w:lang w:val="en-US"/>
              </w:rPr>
              <w:t>Information</w:t>
            </w:r>
          </w:p>
        </w:tc>
        <w:tc>
          <w:tcPr>
            <w:tcW w:w="5098" w:type="dxa"/>
            <w:tcBorders>
              <w:top w:val="single" w:sz="4" w:space="0" w:color="auto"/>
              <w:left w:val="nil"/>
              <w:bottom w:val="single" w:sz="4" w:space="0" w:color="auto"/>
              <w:right w:val="nil"/>
            </w:tcBorders>
            <w:vAlign w:val="center"/>
            <w:hideMark/>
          </w:tcPr>
          <w:p w14:paraId="1ECCD07F" w14:textId="7F0A121F" w:rsidR="00807A8E" w:rsidRPr="001B0B69" w:rsidRDefault="001B0B69" w:rsidP="00EF4B7A">
            <w:pPr>
              <w:pStyle w:val="BodyText"/>
              <w:jc w:val="center"/>
              <w:rPr>
                <w:b/>
                <w:sz w:val="22"/>
                <w:szCs w:val="22"/>
                <w:lang w:val="en-US"/>
              </w:rPr>
            </w:pPr>
            <w:r w:rsidRPr="001B0B69">
              <w:rPr>
                <w:b/>
                <w:sz w:val="22"/>
                <w:szCs w:val="22"/>
                <w:lang w:val="en-US"/>
              </w:rPr>
              <w:t>Kolmogorov</w:t>
            </w:r>
            <w:r w:rsidR="00807A8E" w:rsidRPr="001B0B69">
              <w:rPr>
                <w:b/>
                <w:sz w:val="22"/>
                <w:szCs w:val="22"/>
                <w:lang w:val="en-US"/>
              </w:rPr>
              <w:t>-Smirnov</w:t>
            </w:r>
          </w:p>
        </w:tc>
      </w:tr>
      <w:tr w:rsidR="00807A8E" w:rsidRPr="001B0B69" w14:paraId="139A3A22" w14:textId="77777777" w:rsidTr="001B5F36">
        <w:trPr>
          <w:trHeight w:val="275"/>
          <w:jc w:val="center"/>
        </w:trPr>
        <w:tc>
          <w:tcPr>
            <w:tcW w:w="1985" w:type="dxa"/>
            <w:tcBorders>
              <w:top w:val="single" w:sz="4" w:space="0" w:color="auto"/>
              <w:left w:val="nil"/>
              <w:bottom w:val="single" w:sz="4" w:space="0" w:color="auto"/>
              <w:right w:val="nil"/>
            </w:tcBorders>
            <w:vAlign w:val="center"/>
            <w:hideMark/>
          </w:tcPr>
          <w:p w14:paraId="44EB5CBC" w14:textId="77777777" w:rsidR="00807A8E" w:rsidRPr="001B0B69" w:rsidRDefault="00807A8E" w:rsidP="00EF4B7A">
            <w:pPr>
              <w:pStyle w:val="BodyText"/>
              <w:jc w:val="center"/>
              <w:rPr>
                <w:b/>
                <w:sz w:val="22"/>
                <w:szCs w:val="22"/>
                <w:lang w:val="en-US"/>
              </w:rPr>
            </w:pPr>
            <w:r w:rsidRPr="001B0B69">
              <w:rPr>
                <w:b/>
                <w:sz w:val="22"/>
                <w:szCs w:val="22"/>
                <w:lang w:val="en-US"/>
              </w:rPr>
              <w:t>Statistic</w:t>
            </w:r>
          </w:p>
        </w:tc>
        <w:tc>
          <w:tcPr>
            <w:tcW w:w="5098" w:type="dxa"/>
            <w:tcBorders>
              <w:top w:val="single" w:sz="4" w:space="0" w:color="auto"/>
              <w:left w:val="nil"/>
              <w:bottom w:val="single" w:sz="4" w:space="0" w:color="auto"/>
              <w:right w:val="nil"/>
            </w:tcBorders>
            <w:vAlign w:val="center"/>
            <w:hideMark/>
          </w:tcPr>
          <w:p w14:paraId="1451724A" w14:textId="77777777" w:rsidR="00807A8E" w:rsidRPr="001B0B69" w:rsidRDefault="00807A8E" w:rsidP="00EF4B7A">
            <w:pPr>
              <w:pStyle w:val="BodyText"/>
              <w:jc w:val="center"/>
              <w:rPr>
                <w:sz w:val="22"/>
                <w:szCs w:val="22"/>
                <w:lang w:val="en-US"/>
              </w:rPr>
            </w:pPr>
            <w:r w:rsidRPr="001B0B69">
              <w:rPr>
                <w:sz w:val="22"/>
                <w:szCs w:val="22"/>
                <w:lang w:val="en-US"/>
              </w:rPr>
              <w:t>0,128</w:t>
            </w:r>
          </w:p>
        </w:tc>
      </w:tr>
      <w:tr w:rsidR="00807A8E" w:rsidRPr="001B0B69" w14:paraId="26E04103" w14:textId="77777777" w:rsidTr="001B5F36">
        <w:trPr>
          <w:trHeight w:val="276"/>
          <w:jc w:val="center"/>
        </w:trPr>
        <w:tc>
          <w:tcPr>
            <w:tcW w:w="1985" w:type="dxa"/>
            <w:tcBorders>
              <w:top w:val="single" w:sz="4" w:space="0" w:color="auto"/>
              <w:left w:val="nil"/>
              <w:bottom w:val="single" w:sz="4" w:space="0" w:color="auto"/>
              <w:right w:val="nil"/>
            </w:tcBorders>
            <w:vAlign w:val="center"/>
            <w:hideMark/>
          </w:tcPr>
          <w:p w14:paraId="1EB4D523" w14:textId="77777777" w:rsidR="00807A8E" w:rsidRPr="001B0B69" w:rsidRDefault="00807A8E" w:rsidP="00EF4B7A">
            <w:pPr>
              <w:pStyle w:val="BodyText"/>
              <w:jc w:val="center"/>
              <w:rPr>
                <w:b/>
                <w:sz w:val="22"/>
                <w:szCs w:val="22"/>
                <w:lang w:val="en-US"/>
              </w:rPr>
            </w:pPr>
            <w:r w:rsidRPr="001B0B69">
              <w:rPr>
                <w:b/>
                <w:sz w:val="22"/>
                <w:szCs w:val="22"/>
                <w:lang w:val="en-US"/>
              </w:rPr>
              <w:t>Df</w:t>
            </w:r>
          </w:p>
        </w:tc>
        <w:tc>
          <w:tcPr>
            <w:tcW w:w="5098" w:type="dxa"/>
            <w:tcBorders>
              <w:top w:val="single" w:sz="4" w:space="0" w:color="auto"/>
              <w:left w:val="nil"/>
              <w:bottom w:val="single" w:sz="4" w:space="0" w:color="auto"/>
              <w:right w:val="nil"/>
            </w:tcBorders>
            <w:vAlign w:val="center"/>
            <w:hideMark/>
          </w:tcPr>
          <w:p w14:paraId="1A616EB1" w14:textId="77777777" w:rsidR="00807A8E" w:rsidRPr="001B0B69" w:rsidRDefault="00807A8E" w:rsidP="00EF4B7A">
            <w:pPr>
              <w:pStyle w:val="BodyText"/>
              <w:jc w:val="center"/>
              <w:rPr>
                <w:sz w:val="22"/>
                <w:szCs w:val="22"/>
                <w:lang w:val="en-US"/>
              </w:rPr>
            </w:pPr>
            <w:r w:rsidRPr="001B0B69">
              <w:rPr>
                <w:sz w:val="22"/>
                <w:szCs w:val="22"/>
                <w:lang w:val="en-US"/>
              </w:rPr>
              <w:t>33</w:t>
            </w:r>
          </w:p>
        </w:tc>
      </w:tr>
      <w:tr w:rsidR="00807A8E" w:rsidRPr="001B0B69" w14:paraId="6976B11F" w14:textId="77777777" w:rsidTr="001B5F36">
        <w:trPr>
          <w:trHeight w:val="275"/>
          <w:jc w:val="center"/>
        </w:trPr>
        <w:tc>
          <w:tcPr>
            <w:tcW w:w="1985" w:type="dxa"/>
            <w:tcBorders>
              <w:top w:val="single" w:sz="4" w:space="0" w:color="auto"/>
              <w:left w:val="nil"/>
              <w:bottom w:val="single" w:sz="4" w:space="0" w:color="auto"/>
              <w:right w:val="nil"/>
            </w:tcBorders>
            <w:vAlign w:val="center"/>
            <w:hideMark/>
          </w:tcPr>
          <w:p w14:paraId="042AD939" w14:textId="77777777" w:rsidR="00807A8E" w:rsidRPr="001B0B69" w:rsidRDefault="00807A8E" w:rsidP="00EF4B7A">
            <w:pPr>
              <w:pStyle w:val="BodyText"/>
              <w:jc w:val="center"/>
              <w:rPr>
                <w:b/>
                <w:sz w:val="22"/>
                <w:szCs w:val="22"/>
                <w:lang w:val="en-US"/>
              </w:rPr>
            </w:pPr>
            <w:r w:rsidRPr="001B0B69">
              <w:rPr>
                <w:b/>
                <w:sz w:val="22"/>
                <w:szCs w:val="22"/>
                <w:lang w:val="en-US"/>
              </w:rPr>
              <w:t>Sig</w:t>
            </w:r>
          </w:p>
        </w:tc>
        <w:tc>
          <w:tcPr>
            <w:tcW w:w="5098" w:type="dxa"/>
            <w:tcBorders>
              <w:top w:val="single" w:sz="4" w:space="0" w:color="auto"/>
              <w:left w:val="nil"/>
              <w:bottom w:val="single" w:sz="4" w:space="0" w:color="auto"/>
              <w:right w:val="nil"/>
            </w:tcBorders>
            <w:vAlign w:val="center"/>
            <w:hideMark/>
          </w:tcPr>
          <w:p w14:paraId="7ADC1DF8" w14:textId="77777777" w:rsidR="00807A8E" w:rsidRPr="001B0B69" w:rsidRDefault="00807A8E" w:rsidP="00EF4B7A">
            <w:pPr>
              <w:pStyle w:val="BodyText"/>
              <w:jc w:val="center"/>
              <w:rPr>
                <w:sz w:val="22"/>
                <w:szCs w:val="22"/>
                <w:lang w:val="en-US"/>
              </w:rPr>
            </w:pPr>
            <w:r w:rsidRPr="001B0B69">
              <w:rPr>
                <w:sz w:val="22"/>
                <w:szCs w:val="22"/>
                <w:lang w:val="en-US"/>
              </w:rPr>
              <w:t>0,182</w:t>
            </w:r>
          </w:p>
        </w:tc>
      </w:tr>
      <w:tr w:rsidR="00807A8E" w:rsidRPr="001B0B69" w14:paraId="761DD9FC" w14:textId="77777777" w:rsidTr="001B5F36">
        <w:trPr>
          <w:trHeight w:val="275"/>
          <w:jc w:val="center"/>
        </w:trPr>
        <w:tc>
          <w:tcPr>
            <w:tcW w:w="1985" w:type="dxa"/>
            <w:tcBorders>
              <w:top w:val="single" w:sz="4" w:space="0" w:color="auto"/>
              <w:left w:val="nil"/>
              <w:bottom w:val="single" w:sz="4" w:space="0" w:color="auto"/>
              <w:right w:val="nil"/>
            </w:tcBorders>
            <w:vAlign w:val="center"/>
            <w:hideMark/>
          </w:tcPr>
          <w:p w14:paraId="0975E02F" w14:textId="77777777" w:rsidR="00807A8E" w:rsidRPr="001B0B69" w:rsidRDefault="00807A8E" w:rsidP="00EF4B7A">
            <w:pPr>
              <w:pStyle w:val="BodyText"/>
              <w:jc w:val="center"/>
              <w:rPr>
                <w:b/>
                <w:sz w:val="22"/>
                <w:szCs w:val="22"/>
                <w:lang w:val="en-US"/>
              </w:rPr>
            </w:pPr>
            <w:r w:rsidRPr="001B0B69">
              <w:rPr>
                <w:b/>
                <w:sz w:val="22"/>
                <w:szCs w:val="22"/>
                <w:lang w:val="en-US"/>
              </w:rPr>
              <w:t>Information</w:t>
            </w:r>
          </w:p>
        </w:tc>
        <w:tc>
          <w:tcPr>
            <w:tcW w:w="5098" w:type="dxa"/>
            <w:tcBorders>
              <w:top w:val="single" w:sz="4" w:space="0" w:color="auto"/>
              <w:left w:val="nil"/>
              <w:bottom w:val="single" w:sz="4" w:space="0" w:color="auto"/>
              <w:right w:val="nil"/>
            </w:tcBorders>
            <w:vAlign w:val="center"/>
            <w:hideMark/>
          </w:tcPr>
          <w:p w14:paraId="0A263076" w14:textId="77777777" w:rsidR="00807A8E" w:rsidRPr="001B0B69" w:rsidRDefault="00807A8E" w:rsidP="00EF4B7A">
            <w:pPr>
              <w:pStyle w:val="BodyText"/>
              <w:jc w:val="center"/>
              <w:rPr>
                <w:sz w:val="22"/>
                <w:szCs w:val="22"/>
                <w:lang w:val="en-US"/>
              </w:rPr>
            </w:pPr>
            <w:r w:rsidRPr="001B0B69">
              <w:rPr>
                <w:sz w:val="22"/>
                <w:szCs w:val="22"/>
                <w:lang w:val="en-US"/>
              </w:rPr>
              <w:t>Meet</w:t>
            </w:r>
          </w:p>
        </w:tc>
      </w:tr>
      <w:tr w:rsidR="00807A8E" w:rsidRPr="001B0B69" w14:paraId="6967200C" w14:textId="77777777" w:rsidTr="001B5F36">
        <w:trPr>
          <w:trHeight w:val="54"/>
          <w:jc w:val="center"/>
        </w:trPr>
        <w:tc>
          <w:tcPr>
            <w:tcW w:w="7083" w:type="dxa"/>
            <w:gridSpan w:val="2"/>
            <w:tcBorders>
              <w:top w:val="single" w:sz="4" w:space="0" w:color="auto"/>
              <w:left w:val="nil"/>
              <w:bottom w:val="nil"/>
              <w:right w:val="nil"/>
            </w:tcBorders>
            <w:hideMark/>
          </w:tcPr>
          <w:tbl>
            <w:tblPr>
              <w:tblW w:w="7156"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6"/>
            </w:tblGrid>
            <w:tr w:rsidR="00807A8E" w:rsidRPr="001B0B69" w14:paraId="2F3FDCD1" w14:textId="77777777" w:rsidTr="00EF4B7A">
              <w:trPr>
                <w:trHeight w:val="213"/>
              </w:trPr>
              <w:tc>
                <w:tcPr>
                  <w:tcW w:w="7156" w:type="dxa"/>
                  <w:tcBorders>
                    <w:top w:val="single" w:sz="4" w:space="0" w:color="auto"/>
                    <w:left w:val="nil"/>
                    <w:bottom w:val="nil"/>
                    <w:right w:val="nil"/>
                  </w:tcBorders>
                  <w:hideMark/>
                </w:tcPr>
                <w:p w14:paraId="72407E72" w14:textId="77777777" w:rsidR="00807A8E" w:rsidRPr="001B0B69" w:rsidRDefault="00807A8E" w:rsidP="00EF4B7A">
                  <w:pPr>
                    <w:pStyle w:val="BodyText"/>
                    <w:jc w:val="both"/>
                    <w:rPr>
                      <w:sz w:val="22"/>
                      <w:szCs w:val="22"/>
                      <w:lang w:val="en-US"/>
                    </w:rPr>
                  </w:pPr>
                  <w:r w:rsidRPr="001B0B69">
                    <w:rPr>
                      <w:i/>
                      <w:sz w:val="22"/>
                      <w:szCs w:val="22"/>
                      <w:lang w:val="en-US"/>
                    </w:rPr>
                    <w:t>Source: SPSS appendix processed by the researcher from appendix p. 128</w:t>
                  </w:r>
                </w:p>
              </w:tc>
            </w:tr>
          </w:tbl>
          <w:p w14:paraId="40070C14" w14:textId="77777777" w:rsidR="00807A8E" w:rsidRPr="001B0B69" w:rsidRDefault="00807A8E" w:rsidP="00EF4B7A">
            <w:pPr>
              <w:pStyle w:val="BodyText"/>
              <w:jc w:val="both"/>
              <w:rPr>
                <w:sz w:val="22"/>
                <w:szCs w:val="22"/>
                <w:lang w:val="en-US"/>
              </w:rPr>
            </w:pPr>
          </w:p>
        </w:tc>
      </w:tr>
    </w:tbl>
    <w:p w14:paraId="4C3CEF57" w14:textId="77777777" w:rsidR="006B354F" w:rsidRPr="001B0B69" w:rsidRDefault="006B354F" w:rsidP="00807A8E">
      <w:pPr>
        <w:spacing w:line="276" w:lineRule="auto"/>
        <w:ind w:firstLine="709"/>
        <w:rPr>
          <w:color w:val="000000" w:themeColor="text1"/>
        </w:rPr>
      </w:pPr>
    </w:p>
    <w:p w14:paraId="05821503" w14:textId="34D78CAF" w:rsidR="00807A8E" w:rsidRPr="001B0B69" w:rsidRDefault="00807A8E" w:rsidP="00807A8E">
      <w:pPr>
        <w:spacing w:line="276" w:lineRule="auto"/>
        <w:ind w:firstLine="709"/>
        <w:rPr>
          <w:color w:val="000000" w:themeColor="text1"/>
        </w:rPr>
      </w:pPr>
      <w:r w:rsidRPr="001B0B69">
        <w:rPr>
          <w:color w:val="000000" w:themeColor="text1"/>
        </w:rPr>
        <w:t xml:space="preserve">Table </w:t>
      </w:r>
      <w:r w:rsidR="006E796F" w:rsidRPr="001B0B69">
        <w:rPr>
          <w:color w:val="000000" w:themeColor="text1"/>
        </w:rPr>
        <w:t>6</w:t>
      </w:r>
      <w:r w:rsidRPr="001B0B69">
        <w:rPr>
          <w:color w:val="000000" w:themeColor="text1"/>
        </w:rPr>
        <w:t xml:space="preserve"> shows that the value of the Kolmogorov-Smirnov (Lilliefors) normality test was obtained with a p-value of 0.182 &gt; (0.05), thus accepting Ho in other words the residual data is normally distributed.</w:t>
      </w:r>
    </w:p>
    <w:p w14:paraId="123615DE" w14:textId="77777777" w:rsidR="006E796F" w:rsidRPr="001B0B69" w:rsidRDefault="006E796F" w:rsidP="006E796F">
      <w:pPr>
        <w:spacing w:line="276" w:lineRule="auto"/>
        <w:ind w:firstLine="709"/>
        <w:rPr>
          <w:b/>
          <w:bCs/>
          <w:color w:val="000000" w:themeColor="text1"/>
        </w:rPr>
      </w:pPr>
    </w:p>
    <w:p w14:paraId="6A6CC10B" w14:textId="6E53717F" w:rsidR="00807A8E" w:rsidRPr="001B0B69" w:rsidRDefault="00807A8E" w:rsidP="001B5F36">
      <w:pPr>
        <w:spacing w:line="276" w:lineRule="auto"/>
        <w:rPr>
          <w:b/>
          <w:bCs/>
          <w:i/>
          <w:iCs/>
          <w:color w:val="000000" w:themeColor="text1"/>
        </w:rPr>
      </w:pPr>
      <w:r w:rsidRPr="001B0B69">
        <w:rPr>
          <w:b/>
          <w:bCs/>
          <w:i/>
          <w:iCs/>
          <w:color w:val="000000" w:themeColor="text1"/>
        </w:rPr>
        <w:t>Multicollinearity Test</w:t>
      </w:r>
    </w:p>
    <w:p w14:paraId="6936C299" w14:textId="77777777" w:rsidR="00807A8E" w:rsidRPr="001B0B69" w:rsidRDefault="00807A8E" w:rsidP="00807A8E">
      <w:pPr>
        <w:spacing w:line="276" w:lineRule="auto"/>
        <w:ind w:firstLine="709"/>
        <w:rPr>
          <w:color w:val="000000" w:themeColor="text1"/>
        </w:rPr>
      </w:pPr>
      <w:r w:rsidRPr="001B0B69">
        <w:rPr>
          <w:color w:val="000000" w:themeColor="text1"/>
        </w:rPr>
        <w:tab/>
        <w:t xml:space="preserve">The Multicollinearity test was used to identify whether there was a high correlation between independent variables in the research model. This test aims to ensure </w:t>
      </w:r>
      <w:r w:rsidRPr="001B0B69">
        <w:rPr>
          <w:color w:val="000000" w:themeColor="text1"/>
        </w:rPr>
        <w:lastRenderedPageBreak/>
        <w:t>that there are no excessive linear relationships between independent variables, which can affect the accuracy of regression estimates. Multicollinearity can be detected by looking at the values of Variance Inflation Factor (VIF) and Tolerance, with the following conditions:</w:t>
      </w:r>
    </w:p>
    <w:p w14:paraId="74D44E3B" w14:textId="5E54940A" w:rsidR="00807A8E" w:rsidRPr="001B0B69" w:rsidRDefault="00807A8E" w:rsidP="00EF4B7A">
      <w:pPr>
        <w:pStyle w:val="ListParagraph"/>
        <w:numPr>
          <w:ilvl w:val="0"/>
          <w:numId w:val="27"/>
        </w:numPr>
        <w:spacing w:line="276" w:lineRule="auto"/>
        <w:rPr>
          <w:color w:val="000000" w:themeColor="text1"/>
        </w:rPr>
      </w:pPr>
      <w:r w:rsidRPr="001B0B69">
        <w:rPr>
          <w:color w:val="000000" w:themeColor="text1"/>
        </w:rPr>
        <w:t>VIF &lt; 10, indicates the absence of multicollinearity problems.</w:t>
      </w:r>
    </w:p>
    <w:p w14:paraId="0FCA27CB" w14:textId="2C9D4903" w:rsidR="00807A8E" w:rsidRPr="001B0B69" w:rsidRDefault="00807A8E" w:rsidP="00EF4B7A">
      <w:pPr>
        <w:pStyle w:val="ListParagraph"/>
        <w:numPr>
          <w:ilvl w:val="0"/>
          <w:numId w:val="27"/>
        </w:numPr>
        <w:spacing w:line="276" w:lineRule="auto"/>
        <w:rPr>
          <w:color w:val="000000" w:themeColor="text1"/>
        </w:rPr>
      </w:pPr>
      <w:r w:rsidRPr="001B0B69">
        <w:rPr>
          <w:color w:val="000000" w:themeColor="text1"/>
        </w:rPr>
        <w:t>Tolerance &gt; 0.10, indicating that the free variable still has enough variability in explaining the dependent variable.</w:t>
      </w:r>
    </w:p>
    <w:p w14:paraId="5965620C" w14:textId="77777777" w:rsidR="00807A8E" w:rsidRPr="001B0B69" w:rsidRDefault="00807A8E" w:rsidP="00807A8E">
      <w:pPr>
        <w:spacing w:line="276" w:lineRule="auto"/>
        <w:ind w:firstLine="709"/>
        <w:rPr>
          <w:color w:val="000000" w:themeColor="text1"/>
        </w:rPr>
      </w:pPr>
      <w:r w:rsidRPr="001B0B69">
        <w:rPr>
          <w:color w:val="000000" w:themeColor="text1"/>
        </w:rPr>
        <w:t>If the VIF value is more than 10 or the Tolerance is less than 0.10, then there is an indication of multicollinearity, which can interfere with the results of the regression analysis.</w:t>
      </w:r>
    </w:p>
    <w:p w14:paraId="723D5F35" w14:textId="77777777" w:rsidR="006B354F" w:rsidRPr="001B0B69" w:rsidRDefault="006B354F" w:rsidP="006E796F">
      <w:pPr>
        <w:spacing w:line="276" w:lineRule="auto"/>
        <w:jc w:val="center"/>
        <w:rPr>
          <w:color w:val="000000" w:themeColor="text1"/>
        </w:rPr>
      </w:pPr>
    </w:p>
    <w:p w14:paraId="39E6B0FF" w14:textId="58B6A74F" w:rsidR="00EF4B7A" w:rsidRPr="001B0B69" w:rsidRDefault="00807A8E" w:rsidP="006E796F">
      <w:pPr>
        <w:spacing w:line="276" w:lineRule="auto"/>
        <w:jc w:val="center"/>
        <w:rPr>
          <w:color w:val="000000" w:themeColor="text1"/>
        </w:rPr>
      </w:pPr>
      <w:r w:rsidRPr="001B0B69">
        <w:rPr>
          <w:color w:val="000000" w:themeColor="text1"/>
        </w:rPr>
        <w:t xml:space="preserve">Table </w:t>
      </w:r>
      <w:r w:rsidR="006E796F" w:rsidRPr="001B0B69">
        <w:rPr>
          <w:color w:val="000000" w:themeColor="text1"/>
        </w:rPr>
        <w:t xml:space="preserve">7. </w:t>
      </w:r>
      <w:r w:rsidRPr="001B0B69">
        <w:rPr>
          <w:color w:val="000000" w:themeColor="text1"/>
        </w:rPr>
        <w:t>Normality Test Results</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265"/>
        <w:gridCol w:w="2127"/>
        <w:gridCol w:w="2693"/>
      </w:tblGrid>
      <w:tr w:rsidR="004048A0" w:rsidRPr="001B0B69" w14:paraId="1873EC21" w14:textId="77777777" w:rsidTr="001B5F36">
        <w:trPr>
          <w:trHeight w:val="54"/>
          <w:jc w:val="center"/>
        </w:trPr>
        <w:tc>
          <w:tcPr>
            <w:tcW w:w="2266" w:type="dxa"/>
            <w:tcBorders>
              <w:top w:val="single" w:sz="4" w:space="0" w:color="auto"/>
              <w:left w:val="nil"/>
              <w:bottom w:val="single" w:sz="4" w:space="0" w:color="auto"/>
              <w:right w:val="nil"/>
            </w:tcBorders>
            <w:vAlign w:val="center"/>
            <w:hideMark/>
          </w:tcPr>
          <w:p w14:paraId="765D6AE1" w14:textId="77777777" w:rsidR="004048A0" w:rsidRPr="001B0B69" w:rsidRDefault="004048A0" w:rsidP="00EF4B7A">
            <w:pPr>
              <w:pStyle w:val="BodyText"/>
              <w:jc w:val="center"/>
              <w:rPr>
                <w:b/>
                <w:sz w:val="22"/>
                <w:szCs w:val="22"/>
                <w:lang w:val="en-US"/>
              </w:rPr>
            </w:pPr>
            <w:r w:rsidRPr="001B0B69">
              <w:rPr>
                <w:b/>
                <w:sz w:val="22"/>
                <w:szCs w:val="22"/>
                <w:lang w:val="en-US"/>
              </w:rPr>
              <w:t>Variabel</w:t>
            </w:r>
          </w:p>
        </w:tc>
        <w:tc>
          <w:tcPr>
            <w:tcW w:w="2265" w:type="dxa"/>
            <w:tcBorders>
              <w:top w:val="single" w:sz="4" w:space="0" w:color="auto"/>
              <w:left w:val="nil"/>
              <w:bottom w:val="single" w:sz="4" w:space="0" w:color="auto"/>
              <w:right w:val="nil"/>
            </w:tcBorders>
            <w:vAlign w:val="center"/>
            <w:hideMark/>
          </w:tcPr>
          <w:p w14:paraId="6327CFC0" w14:textId="384D33A3" w:rsidR="004048A0" w:rsidRPr="001B0B69" w:rsidRDefault="004048A0" w:rsidP="00EF4B7A">
            <w:pPr>
              <w:pStyle w:val="BodyText"/>
              <w:jc w:val="center"/>
              <w:rPr>
                <w:b/>
                <w:i/>
                <w:sz w:val="22"/>
                <w:szCs w:val="22"/>
                <w:lang w:val="en-US"/>
              </w:rPr>
            </w:pPr>
            <w:r w:rsidRPr="001B0B69">
              <w:rPr>
                <w:b/>
                <w:i/>
                <w:sz w:val="22"/>
                <w:szCs w:val="22"/>
                <w:lang w:val="en-US"/>
              </w:rPr>
              <w:t>Tolerance &gt; 0,10</w:t>
            </w:r>
          </w:p>
        </w:tc>
        <w:tc>
          <w:tcPr>
            <w:tcW w:w="2127" w:type="dxa"/>
            <w:tcBorders>
              <w:top w:val="single" w:sz="4" w:space="0" w:color="auto"/>
              <w:left w:val="nil"/>
              <w:bottom w:val="single" w:sz="4" w:space="0" w:color="auto"/>
              <w:right w:val="nil"/>
            </w:tcBorders>
            <w:vAlign w:val="center"/>
            <w:hideMark/>
          </w:tcPr>
          <w:p w14:paraId="5777AAF0" w14:textId="761CA129" w:rsidR="004048A0" w:rsidRPr="001B0B69" w:rsidRDefault="004048A0" w:rsidP="00EF4B7A">
            <w:pPr>
              <w:pStyle w:val="BodyText"/>
              <w:jc w:val="center"/>
              <w:rPr>
                <w:b/>
                <w:sz w:val="22"/>
                <w:szCs w:val="22"/>
                <w:lang w:val="en-US"/>
              </w:rPr>
            </w:pPr>
            <w:r w:rsidRPr="001B0B69">
              <w:rPr>
                <w:b/>
                <w:sz w:val="22"/>
                <w:szCs w:val="22"/>
                <w:lang w:val="en-US"/>
              </w:rPr>
              <w:t>VIVID &lt; 10</w:t>
            </w:r>
          </w:p>
        </w:tc>
        <w:tc>
          <w:tcPr>
            <w:tcW w:w="2693" w:type="dxa"/>
            <w:tcBorders>
              <w:top w:val="single" w:sz="4" w:space="0" w:color="auto"/>
              <w:left w:val="nil"/>
              <w:bottom w:val="single" w:sz="4" w:space="0" w:color="auto"/>
              <w:right w:val="nil"/>
            </w:tcBorders>
            <w:vAlign w:val="center"/>
            <w:hideMark/>
          </w:tcPr>
          <w:p w14:paraId="24E5A191" w14:textId="77777777" w:rsidR="004048A0" w:rsidRPr="001B0B69" w:rsidRDefault="004048A0" w:rsidP="00EF4B7A">
            <w:pPr>
              <w:pStyle w:val="BodyText"/>
              <w:jc w:val="center"/>
              <w:rPr>
                <w:b/>
                <w:sz w:val="22"/>
                <w:szCs w:val="22"/>
                <w:lang w:val="en-US"/>
              </w:rPr>
            </w:pPr>
            <w:r w:rsidRPr="001B0B69">
              <w:rPr>
                <w:b/>
                <w:sz w:val="22"/>
                <w:szCs w:val="22"/>
                <w:lang w:val="en-US"/>
              </w:rPr>
              <w:t>Information</w:t>
            </w:r>
          </w:p>
        </w:tc>
      </w:tr>
      <w:tr w:rsidR="004048A0" w:rsidRPr="001B0B69" w14:paraId="0A1391C5" w14:textId="77777777" w:rsidTr="001B5F36">
        <w:trPr>
          <w:trHeight w:val="54"/>
          <w:jc w:val="center"/>
        </w:trPr>
        <w:tc>
          <w:tcPr>
            <w:tcW w:w="2266" w:type="dxa"/>
            <w:tcBorders>
              <w:top w:val="single" w:sz="4" w:space="0" w:color="auto"/>
              <w:left w:val="nil"/>
              <w:bottom w:val="single" w:sz="4" w:space="0" w:color="auto"/>
              <w:right w:val="nil"/>
            </w:tcBorders>
            <w:hideMark/>
          </w:tcPr>
          <w:p w14:paraId="32366729" w14:textId="77777777" w:rsidR="004048A0" w:rsidRPr="001B0B69" w:rsidRDefault="004048A0" w:rsidP="00EF4B7A">
            <w:pPr>
              <w:pStyle w:val="BodyText"/>
              <w:jc w:val="center"/>
              <w:rPr>
                <w:bCs/>
                <w:sz w:val="22"/>
                <w:szCs w:val="22"/>
                <w:lang w:val="en-US"/>
              </w:rPr>
            </w:pPr>
            <w:r w:rsidRPr="001B0B69">
              <w:rPr>
                <w:bCs/>
                <w:sz w:val="22"/>
                <w:szCs w:val="22"/>
                <w:lang w:val="en-US"/>
              </w:rPr>
              <w:t>Budget Participation</w:t>
            </w:r>
          </w:p>
        </w:tc>
        <w:tc>
          <w:tcPr>
            <w:tcW w:w="2265" w:type="dxa"/>
            <w:tcBorders>
              <w:top w:val="single" w:sz="4" w:space="0" w:color="auto"/>
              <w:left w:val="nil"/>
              <w:bottom w:val="single" w:sz="4" w:space="0" w:color="auto"/>
              <w:right w:val="nil"/>
            </w:tcBorders>
            <w:hideMark/>
          </w:tcPr>
          <w:p w14:paraId="6C205A12" w14:textId="77777777" w:rsidR="004048A0" w:rsidRPr="001B0B69" w:rsidRDefault="004048A0" w:rsidP="00EF4B7A">
            <w:pPr>
              <w:pStyle w:val="BodyText"/>
              <w:jc w:val="center"/>
              <w:rPr>
                <w:sz w:val="22"/>
                <w:szCs w:val="22"/>
                <w:lang w:val="en-US"/>
              </w:rPr>
            </w:pPr>
            <w:r w:rsidRPr="001B0B69">
              <w:rPr>
                <w:sz w:val="22"/>
                <w:szCs w:val="22"/>
                <w:lang w:val="en-US"/>
              </w:rPr>
              <w:t>0,736</w:t>
            </w:r>
          </w:p>
        </w:tc>
        <w:tc>
          <w:tcPr>
            <w:tcW w:w="2127" w:type="dxa"/>
            <w:tcBorders>
              <w:top w:val="single" w:sz="4" w:space="0" w:color="auto"/>
              <w:left w:val="nil"/>
              <w:bottom w:val="single" w:sz="4" w:space="0" w:color="auto"/>
              <w:right w:val="nil"/>
            </w:tcBorders>
            <w:hideMark/>
          </w:tcPr>
          <w:p w14:paraId="302C5E00" w14:textId="77777777" w:rsidR="004048A0" w:rsidRPr="001B0B69" w:rsidRDefault="004048A0" w:rsidP="00EF4B7A">
            <w:pPr>
              <w:pStyle w:val="BodyText"/>
              <w:jc w:val="center"/>
              <w:rPr>
                <w:sz w:val="22"/>
                <w:szCs w:val="22"/>
                <w:lang w:val="en-US"/>
              </w:rPr>
            </w:pPr>
            <w:r w:rsidRPr="001B0B69">
              <w:rPr>
                <w:sz w:val="22"/>
                <w:szCs w:val="22"/>
                <w:lang w:val="en-US"/>
              </w:rPr>
              <w:t>1,358</w:t>
            </w:r>
          </w:p>
        </w:tc>
        <w:tc>
          <w:tcPr>
            <w:tcW w:w="2693" w:type="dxa"/>
            <w:tcBorders>
              <w:top w:val="single" w:sz="4" w:space="0" w:color="auto"/>
              <w:left w:val="nil"/>
              <w:bottom w:val="single" w:sz="4" w:space="0" w:color="auto"/>
              <w:right w:val="nil"/>
            </w:tcBorders>
            <w:hideMark/>
          </w:tcPr>
          <w:p w14:paraId="311EEA69" w14:textId="77777777" w:rsidR="004048A0" w:rsidRPr="001B0B69" w:rsidRDefault="004048A0" w:rsidP="00EF4B7A">
            <w:pPr>
              <w:pStyle w:val="BodyText"/>
              <w:jc w:val="both"/>
              <w:rPr>
                <w:sz w:val="22"/>
                <w:szCs w:val="22"/>
                <w:lang w:val="en-US"/>
              </w:rPr>
            </w:pPr>
            <w:r w:rsidRPr="001B0B69">
              <w:rPr>
                <w:sz w:val="22"/>
                <w:szCs w:val="22"/>
                <w:lang w:val="en-US"/>
              </w:rPr>
              <w:t>Multicollinearity does not occur</w:t>
            </w:r>
          </w:p>
        </w:tc>
      </w:tr>
      <w:tr w:rsidR="004048A0" w:rsidRPr="001B0B69" w14:paraId="653D0811" w14:textId="77777777" w:rsidTr="001B5F36">
        <w:trPr>
          <w:trHeight w:val="54"/>
          <w:jc w:val="center"/>
        </w:trPr>
        <w:tc>
          <w:tcPr>
            <w:tcW w:w="2266" w:type="dxa"/>
            <w:tcBorders>
              <w:top w:val="single" w:sz="4" w:space="0" w:color="auto"/>
              <w:left w:val="nil"/>
              <w:bottom w:val="single" w:sz="4" w:space="0" w:color="auto"/>
              <w:right w:val="nil"/>
            </w:tcBorders>
            <w:hideMark/>
          </w:tcPr>
          <w:p w14:paraId="2BCBDAF4" w14:textId="77777777" w:rsidR="004048A0" w:rsidRPr="001B0B69" w:rsidRDefault="004048A0" w:rsidP="00EF4B7A">
            <w:pPr>
              <w:pStyle w:val="BodyText"/>
              <w:jc w:val="center"/>
              <w:rPr>
                <w:bCs/>
                <w:sz w:val="22"/>
                <w:szCs w:val="22"/>
                <w:lang w:val="en-US"/>
              </w:rPr>
            </w:pPr>
            <w:r w:rsidRPr="001B0B69">
              <w:rPr>
                <w:bCs/>
                <w:sz w:val="22"/>
                <w:szCs w:val="22"/>
                <w:lang w:val="en-US"/>
              </w:rPr>
              <w:t>Motivation</w:t>
            </w:r>
          </w:p>
        </w:tc>
        <w:tc>
          <w:tcPr>
            <w:tcW w:w="2265" w:type="dxa"/>
            <w:tcBorders>
              <w:top w:val="single" w:sz="4" w:space="0" w:color="auto"/>
              <w:left w:val="nil"/>
              <w:bottom w:val="single" w:sz="4" w:space="0" w:color="auto"/>
              <w:right w:val="nil"/>
            </w:tcBorders>
            <w:hideMark/>
          </w:tcPr>
          <w:p w14:paraId="469B98CF" w14:textId="77777777" w:rsidR="004048A0" w:rsidRPr="001B0B69" w:rsidRDefault="004048A0" w:rsidP="00EF4B7A">
            <w:pPr>
              <w:pStyle w:val="BodyText"/>
              <w:jc w:val="center"/>
              <w:rPr>
                <w:sz w:val="22"/>
                <w:szCs w:val="22"/>
                <w:lang w:val="en-US"/>
              </w:rPr>
            </w:pPr>
            <w:r w:rsidRPr="001B0B69">
              <w:rPr>
                <w:sz w:val="22"/>
                <w:szCs w:val="22"/>
                <w:lang w:val="en-US"/>
              </w:rPr>
              <w:t>0,188</w:t>
            </w:r>
          </w:p>
        </w:tc>
        <w:tc>
          <w:tcPr>
            <w:tcW w:w="2127" w:type="dxa"/>
            <w:tcBorders>
              <w:top w:val="single" w:sz="4" w:space="0" w:color="auto"/>
              <w:left w:val="nil"/>
              <w:bottom w:val="single" w:sz="4" w:space="0" w:color="auto"/>
              <w:right w:val="nil"/>
            </w:tcBorders>
            <w:hideMark/>
          </w:tcPr>
          <w:p w14:paraId="5A4212B1" w14:textId="77777777" w:rsidR="004048A0" w:rsidRPr="001B0B69" w:rsidRDefault="004048A0" w:rsidP="00EF4B7A">
            <w:pPr>
              <w:pStyle w:val="BodyText"/>
              <w:jc w:val="center"/>
              <w:rPr>
                <w:sz w:val="22"/>
                <w:szCs w:val="22"/>
                <w:lang w:val="en-US"/>
              </w:rPr>
            </w:pPr>
            <w:r w:rsidRPr="001B0B69">
              <w:rPr>
                <w:sz w:val="22"/>
                <w:szCs w:val="22"/>
                <w:lang w:val="en-US"/>
              </w:rPr>
              <w:t>5,331</w:t>
            </w:r>
          </w:p>
        </w:tc>
        <w:tc>
          <w:tcPr>
            <w:tcW w:w="2693" w:type="dxa"/>
            <w:tcBorders>
              <w:top w:val="single" w:sz="4" w:space="0" w:color="auto"/>
              <w:left w:val="nil"/>
              <w:bottom w:val="single" w:sz="4" w:space="0" w:color="auto"/>
              <w:right w:val="nil"/>
            </w:tcBorders>
            <w:hideMark/>
          </w:tcPr>
          <w:p w14:paraId="33D3F3CE" w14:textId="77777777" w:rsidR="004048A0" w:rsidRPr="001B0B69" w:rsidRDefault="004048A0" w:rsidP="00EF4B7A">
            <w:pPr>
              <w:pStyle w:val="BodyText"/>
              <w:jc w:val="both"/>
              <w:rPr>
                <w:sz w:val="22"/>
                <w:szCs w:val="22"/>
                <w:lang w:val="en-US"/>
              </w:rPr>
            </w:pPr>
            <w:r w:rsidRPr="001B0B69">
              <w:rPr>
                <w:sz w:val="22"/>
                <w:szCs w:val="22"/>
                <w:lang w:val="en-US"/>
              </w:rPr>
              <w:t>Multicollinearity does not occur</w:t>
            </w:r>
          </w:p>
        </w:tc>
      </w:tr>
      <w:tr w:rsidR="004048A0" w:rsidRPr="001B0B69" w14:paraId="32316394" w14:textId="77777777" w:rsidTr="001B5F36">
        <w:trPr>
          <w:trHeight w:val="54"/>
          <w:jc w:val="center"/>
        </w:trPr>
        <w:tc>
          <w:tcPr>
            <w:tcW w:w="2266" w:type="dxa"/>
            <w:tcBorders>
              <w:top w:val="single" w:sz="4" w:space="0" w:color="auto"/>
              <w:left w:val="nil"/>
              <w:bottom w:val="single" w:sz="4" w:space="0" w:color="auto"/>
              <w:right w:val="nil"/>
            </w:tcBorders>
            <w:hideMark/>
          </w:tcPr>
          <w:p w14:paraId="716B5308" w14:textId="77777777" w:rsidR="004048A0" w:rsidRPr="001B0B69" w:rsidRDefault="004048A0" w:rsidP="00EF4B7A">
            <w:pPr>
              <w:pStyle w:val="BodyText"/>
              <w:jc w:val="center"/>
              <w:rPr>
                <w:bCs/>
                <w:sz w:val="22"/>
                <w:szCs w:val="22"/>
                <w:lang w:val="en-US"/>
              </w:rPr>
            </w:pPr>
            <w:r w:rsidRPr="001B0B69">
              <w:rPr>
                <w:bCs/>
                <w:sz w:val="22"/>
                <w:szCs w:val="22"/>
                <w:lang w:val="en-US"/>
              </w:rPr>
              <w:t>Competence</w:t>
            </w:r>
          </w:p>
        </w:tc>
        <w:tc>
          <w:tcPr>
            <w:tcW w:w="2265" w:type="dxa"/>
            <w:tcBorders>
              <w:top w:val="single" w:sz="4" w:space="0" w:color="auto"/>
              <w:left w:val="nil"/>
              <w:bottom w:val="single" w:sz="4" w:space="0" w:color="auto"/>
              <w:right w:val="nil"/>
            </w:tcBorders>
            <w:hideMark/>
          </w:tcPr>
          <w:p w14:paraId="3D5D5876" w14:textId="77777777" w:rsidR="004048A0" w:rsidRPr="001B0B69" w:rsidRDefault="004048A0" w:rsidP="00EF4B7A">
            <w:pPr>
              <w:pStyle w:val="BodyText"/>
              <w:jc w:val="center"/>
              <w:rPr>
                <w:sz w:val="22"/>
                <w:szCs w:val="22"/>
                <w:lang w:val="en-US"/>
              </w:rPr>
            </w:pPr>
            <w:r w:rsidRPr="001B0B69">
              <w:rPr>
                <w:sz w:val="22"/>
                <w:szCs w:val="22"/>
                <w:lang w:val="en-US"/>
              </w:rPr>
              <w:t>0,203</w:t>
            </w:r>
          </w:p>
        </w:tc>
        <w:tc>
          <w:tcPr>
            <w:tcW w:w="2127" w:type="dxa"/>
            <w:tcBorders>
              <w:top w:val="single" w:sz="4" w:space="0" w:color="auto"/>
              <w:left w:val="nil"/>
              <w:bottom w:val="single" w:sz="4" w:space="0" w:color="auto"/>
              <w:right w:val="nil"/>
            </w:tcBorders>
            <w:hideMark/>
          </w:tcPr>
          <w:p w14:paraId="411778C4" w14:textId="77777777" w:rsidR="004048A0" w:rsidRPr="001B0B69" w:rsidRDefault="004048A0" w:rsidP="00EF4B7A">
            <w:pPr>
              <w:pStyle w:val="BodyText"/>
              <w:jc w:val="center"/>
              <w:rPr>
                <w:sz w:val="22"/>
                <w:szCs w:val="22"/>
                <w:lang w:val="en-US"/>
              </w:rPr>
            </w:pPr>
            <w:r w:rsidRPr="001B0B69">
              <w:rPr>
                <w:sz w:val="22"/>
                <w:szCs w:val="22"/>
                <w:lang w:val="en-US"/>
              </w:rPr>
              <w:t>4,932</w:t>
            </w:r>
          </w:p>
        </w:tc>
        <w:tc>
          <w:tcPr>
            <w:tcW w:w="2693" w:type="dxa"/>
            <w:tcBorders>
              <w:top w:val="single" w:sz="4" w:space="0" w:color="auto"/>
              <w:left w:val="nil"/>
              <w:bottom w:val="single" w:sz="4" w:space="0" w:color="auto"/>
              <w:right w:val="nil"/>
            </w:tcBorders>
            <w:hideMark/>
          </w:tcPr>
          <w:p w14:paraId="3C80BF23" w14:textId="77777777" w:rsidR="004048A0" w:rsidRPr="001B0B69" w:rsidRDefault="004048A0" w:rsidP="00EF4B7A">
            <w:pPr>
              <w:pStyle w:val="BodyText"/>
              <w:jc w:val="both"/>
              <w:rPr>
                <w:sz w:val="22"/>
                <w:szCs w:val="22"/>
                <w:lang w:val="en-US"/>
              </w:rPr>
            </w:pPr>
            <w:r w:rsidRPr="001B0B69">
              <w:rPr>
                <w:sz w:val="22"/>
                <w:szCs w:val="22"/>
                <w:lang w:val="en-US"/>
              </w:rPr>
              <w:t>Multicollinearity does not occur</w:t>
            </w:r>
          </w:p>
        </w:tc>
      </w:tr>
      <w:tr w:rsidR="004048A0" w:rsidRPr="001B0B69" w14:paraId="63D4085A" w14:textId="77777777" w:rsidTr="001B5F36">
        <w:trPr>
          <w:trHeight w:val="552"/>
          <w:jc w:val="center"/>
        </w:trPr>
        <w:tc>
          <w:tcPr>
            <w:tcW w:w="9351" w:type="dxa"/>
            <w:gridSpan w:val="4"/>
            <w:tcBorders>
              <w:top w:val="single" w:sz="4" w:space="0" w:color="auto"/>
              <w:left w:val="nil"/>
              <w:bottom w:val="nil"/>
              <w:right w:val="nil"/>
            </w:tcBorders>
          </w:tcPr>
          <w:p w14:paraId="2BC5F1A5" w14:textId="77777777" w:rsidR="004048A0" w:rsidRPr="001B0B69" w:rsidRDefault="004048A0" w:rsidP="00EF4B7A">
            <w:pPr>
              <w:pStyle w:val="BodyText"/>
              <w:jc w:val="both"/>
              <w:rPr>
                <w:i/>
                <w:sz w:val="22"/>
                <w:szCs w:val="22"/>
                <w:lang w:val="en-US"/>
              </w:rPr>
            </w:pPr>
            <w:r w:rsidRPr="001B0B69">
              <w:rPr>
                <w:i/>
                <w:sz w:val="22"/>
                <w:szCs w:val="22"/>
                <w:lang w:val="en-US"/>
              </w:rPr>
              <w:t>Source: SPSS appendix processed by the researcher from appendix p. 128</w:t>
            </w:r>
          </w:p>
        </w:tc>
      </w:tr>
    </w:tbl>
    <w:p w14:paraId="13BA23F6" w14:textId="273EA476" w:rsidR="004048A0" w:rsidRPr="001B0B69" w:rsidRDefault="004048A0" w:rsidP="004048A0">
      <w:pPr>
        <w:spacing w:line="276" w:lineRule="auto"/>
        <w:ind w:firstLine="709"/>
        <w:rPr>
          <w:color w:val="000000" w:themeColor="text1"/>
        </w:rPr>
      </w:pPr>
      <w:r w:rsidRPr="001B0B69">
        <w:rPr>
          <w:color w:val="000000" w:themeColor="text1"/>
        </w:rPr>
        <w:t>Table</w:t>
      </w:r>
      <w:r w:rsidR="006E796F" w:rsidRPr="001B0B69">
        <w:rPr>
          <w:color w:val="000000" w:themeColor="text1"/>
        </w:rPr>
        <w:t xml:space="preserve"> 7</w:t>
      </w:r>
      <w:r w:rsidRPr="001B0B69">
        <w:rPr>
          <w:color w:val="000000" w:themeColor="text1"/>
        </w:rPr>
        <w:t xml:space="preserve"> showed that the Tolerance values in the variables of budget participation, motivation, and competence were 0.736, 0.188, and 0.203. The Tolerance value for these three variables &gt; 0.10. Furthermore, the VIF score on the three variables &lt; 10, namely budget participation was 1,358, motivation was 5,331, and competency was 4,932. Therefore, it can be concluded that each of the independent variables used in this study did not have multicollinearity.</w:t>
      </w:r>
    </w:p>
    <w:p w14:paraId="64E5DC10" w14:textId="77777777" w:rsidR="006E796F" w:rsidRPr="001B0B69" w:rsidRDefault="006E796F" w:rsidP="00EF4B7A">
      <w:pPr>
        <w:spacing w:line="276" w:lineRule="auto"/>
        <w:rPr>
          <w:b/>
          <w:bCs/>
          <w:color w:val="000000" w:themeColor="text1"/>
        </w:rPr>
      </w:pPr>
    </w:p>
    <w:p w14:paraId="67024DE9" w14:textId="687B7FE1" w:rsidR="004048A0" w:rsidRPr="001B0B69" w:rsidRDefault="004048A0" w:rsidP="001B5F36">
      <w:pPr>
        <w:spacing w:line="276" w:lineRule="auto"/>
        <w:rPr>
          <w:b/>
          <w:bCs/>
          <w:i/>
          <w:iCs/>
          <w:color w:val="000000" w:themeColor="text1"/>
        </w:rPr>
      </w:pPr>
      <w:r w:rsidRPr="001B0B69">
        <w:rPr>
          <w:b/>
          <w:bCs/>
          <w:i/>
          <w:iCs/>
          <w:color w:val="000000" w:themeColor="text1"/>
        </w:rPr>
        <w:t>Heteroscedasticity Test</w:t>
      </w:r>
    </w:p>
    <w:p w14:paraId="5E73D0AA" w14:textId="076C7C17" w:rsidR="004048A0" w:rsidRPr="001B0B69" w:rsidRDefault="004048A0" w:rsidP="004048A0">
      <w:pPr>
        <w:spacing w:line="276" w:lineRule="auto"/>
        <w:ind w:firstLine="709"/>
        <w:rPr>
          <w:color w:val="000000" w:themeColor="text1"/>
        </w:rPr>
      </w:pPr>
      <w:r w:rsidRPr="001B0B69">
        <w:rPr>
          <w:color w:val="000000" w:themeColor="text1"/>
        </w:rPr>
        <w:t xml:space="preserve">The </w:t>
      </w:r>
      <w:r w:rsidR="001B0B69" w:rsidRPr="001B0B69">
        <w:rPr>
          <w:color w:val="000000" w:themeColor="text1"/>
        </w:rPr>
        <w:t>Heteroskedasticity</w:t>
      </w:r>
      <w:r w:rsidRPr="001B0B69">
        <w:rPr>
          <w:color w:val="000000" w:themeColor="text1"/>
        </w:rPr>
        <w:t xml:space="preserve"> test aims to test whether there is an unevenness of variance from the residual at the level of each independent variable. If the residual variance is fixed or constant, this condition is called </w:t>
      </w:r>
      <w:r w:rsidR="001B0B69" w:rsidRPr="001B0B69">
        <w:rPr>
          <w:color w:val="000000" w:themeColor="text1"/>
        </w:rPr>
        <w:t>photoelasticity</w:t>
      </w:r>
      <w:r w:rsidRPr="001B0B69">
        <w:rPr>
          <w:color w:val="000000" w:themeColor="text1"/>
        </w:rPr>
        <w:t xml:space="preserve">, which indicates that the regression model used is good. One method to detect </w:t>
      </w:r>
      <w:r w:rsidR="001B0B69" w:rsidRPr="001B0B69">
        <w:rPr>
          <w:color w:val="000000" w:themeColor="text1"/>
        </w:rPr>
        <w:t>heteroskedasticity</w:t>
      </w:r>
      <w:r w:rsidRPr="001B0B69">
        <w:rPr>
          <w:color w:val="000000" w:themeColor="text1"/>
        </w:rPr>
        <w:t xml:space="preserve"> is the Glejser test. This method is done by regressing independent variables to the absolute value of their residuals.</w:t>
      </w:r>
    </w:p>
    <w:p w14:paraId="1C18EE9D" w14:textId="77777777" w:rsidR="004048A0" w:rsidRPr="001B0B69" w:rsidRDefault="004048A0" w:rsidP="006E796F">
      <w:pPr>
        <w:spacing w:line="276" w:lineRule="auto"/>
        <w:rPr>
          <w:color w:val="000000" w:themeColor="text1"/>
        </w:rPr>
      </w:pPr>
      <w:r w:rsidRPr="001B0B69">
        <w:rPr>
          <w:color w:val="000000" w:themeColor="text1"/>
        </w:rPr>
        <w:t>Decision-making criteria in the Glejser test:</w:t>
      </w:r>
    </w:p>
    <w:p w14:paraId="0386C33F" w14:textId="33E407C3" w:rsidR="004048A0" w:rsidRPr="001B0B69" w:rsidRDefault="004048A0" w:rsidP="00EF4B7A">
      <w:pPr>
        <w:pStyle w:val="ListParagraph"/>
        <w:numPr>
          <w:ilvl w:val="0"/>
          <w:numId w:val="29"/>
        </w:numPr>
        <w:spacing w:line="276" w:lineRule="auto"/>
        <w:rPr>
          <w:color w:val="000000" w:themeColor="text1"/>
        </w:rPr>
      </w:pPr>
      <w:r w:rsidRPr="001B0B69">
        <w:rPr>
          <w:color w:val="000000" w:themeColor="text1"/>
        </w:rPr>
        <w:t xml:space="preserve">If the significance value &gt; 0.05, then </w:t>
      </w:r>
      <w:r w:rsidR="001B0B69" w:rsidRPr="001B0B69">
        <w:rPr>
          <w:color w:val="000000" w:themeColor="text1"/>
        </w:rPr>
        <w:t>heteroskedasticity</w:t>
      </w:r>
      <w:r w:rsidRPr="001B0B69">
        <w:rPr>
          <w:color w:val="000000" w:themeColor="text1"/>
        </w:rPr>
        <w:t xml:space="preserve"> does not occur (the regression model is considered good).</w:t>
      </w:r>
    </w:p>
    <w:p w14:paraId="63FD02EE" w14:textId="5E1DC3B8" w:rsidR="004048A0" w:rsidRPr="001B0B69" w:rsidRDefault="004048A0" w:rsidP="00EF4B7A">
      <w:pPr>
        <w:pStyle w:val="ListParagraph"/>
        <w:numPr>
          <w:ilvl w:val="0"/>
          <w:numId w:val="29"/>
        </w:numPr>
        <w:spacing w:line="276" w:lineRule="auto"/>
        <w:rPr>
          <w:color w:val="000000" w:themeColor="text1"/>
        </w:rPr>
      </w:pPr>
      <w:r w:rsidRPr="001B0B69">
        <w:rPr>
          <w:color w:val="000000" w:themeColor="text1"/>
        </w:rPr>
        <w:t xml:space="preserve">If the significance value &lt; 0.05, then </w:t>
      </w:r>
      <w:r w:rsidR="001B0B69" w:rsidRPr="001B0B69">
        <w:rPr>
          <w:color w:val="000000" w:themeColor="text1"/>
        </w:rPr>
        <w:t>heteroskedasticity</w:t>
      </w:r>
      <w:r w:rsidRPr="001B0B69">
        <w:rPr>
          <w:color w:val="000000" w:themeColor="text1"/>
        </w:rPr>
        <w:t xml:space="preserve"> occurs, which means that there is a residual variability that is not constant in the regression model.</w:t>
      </w:r>
    </w:p>
    <w:p w14:paraId="45E09575" w14:textId="77777777" w:rsidR="006E796F" w:rsidRPr="001B0B69" w:rsidRDefault="006E796F" w:rsidP="006E796F">
      <w:pPr>
        <w:spacing w:line="276" w:lineRule="auto"/>
        <w:rPr>
          <w:color w:val="000000" w:themeColor="text1"/>
        </w:rPr>
      </w:pPr>
    </w:p>
    <w:p w14:paraId="7C664364" w14:textId="61383F48" w:rsidR="004048A0" w:rsidRPr="001B0B69" w:rsidRDefault="004048A0" w:rsidP="006E796F">
      <w:pPr>
        <w:spacing w:line="276" w:lineRule="auto"/>
        <w:rPr>
          <w:color w:val="000000" w:themeColor="text1"/>
        </w:rPr>
      </w:pPr>
      <w:r w:rsidRPr="001B0B69">
        <w:rPr>
          <w:color w:val="000000" w:themeColor="text1"/>
        </w:rPr>
        <w:t>The results of the Glejser test output are as follows:</w:t>
      </w:r>
    </w:p>
    <w:p w14:paraId="6E0692F1" w14:textId="77777777" w:rsidR="006B354F" w:rsidRPr="001B0B69" w:rsidRDefault="006B354F" w:rsidP="006E796F">
      <w:pPr>
        <w:spacing w:line="276" w:lineRule="auto"/>
        <w:jc w:val="center"/>
        <w:rPr>
          <w:color w:val="000000" w:themeColor="text1"/>
        </w:rPr>
      </w:pPr>
    </w:p>
    <w:p w14:paraId="654A5E7C" w14:textId="377A6878" w:rsidR="004048A0" w:rsidRPr="001B0B69" w:rsidRDefault="004048A0" w:rsidP="006E796F">
      <w:pPr>
        <w:spacing w:line="276" w:lineRule="auto"/>
        <w:jc w:val="center"/>
        <w:rPr>
          <w:color w:val="000000" w:themeColor="text1"/>
        </w:rPr>
      </w:pPr>
      <w:r w:rsidRPr="001B0B69">
        <w:rPr>
          <w:color w:val="000000" w:themeColor="text1"/>
        </w:rPr>
        <w:lastRenderedPageBreak/>
        <w:t xml:space="preserve">Table </w:t>
      </w:r>
      <w:r w:rsidR="006E796F" w:rsidRPr="001B0B69">
        <w:rPr>
          <w:color w:val="000000" w:themeColor="text1"/>
        </w:rPr>
        <w:t xml:space="preserve">8. </w:t>
      </w:r>
      <w:r w:rsidRPr="001B0B69">
        <w:rPr>
          <w:color w:val="000000" w:themeColor="text1"/>
        </w:rPr>
        <w:t>Heteroscedasticity Test Results</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134"/>
        <w:gridCol w:w="1696"/>
        <w:gridCol w:w="3402"/>
      </w:tblGrid>
      <w:tr w:rsidR="004048A0" w:rsidRPr="001B0B69" w14:paraId="2BFB71F5" w14:textId="77777777" w:rsidTr="001B5F36">
        <w:trPr>
          <w:trHeight w:val="54"/>
          <w:jc w:val="center"/>
        </w:trPr>
        <w:tc>
          <w:tcPr>
            <w:tcW w:w="2552" w:type="dxa"/>
            <w:tcBorders>
              <w:top w:val="single" w:sz="4" w:space="0" w:color="auto"/>
              <w:left w:val="nil"/>
              <w:bottom w:val="single" w:sz="4" w:space="0" w:color="auto"/>
              <w:right w:val="nil"/>
            </w:tcBorders>
            <w:vAlign w:val="center"/>
            <w:hideMark/>
          </w:tcPr>
          <w:p w14:paraId="26F6AB25" w14:textId="77777777" w:rsidR="004048A0" w:rsidRPr="001B0B69" w:rsidRDefault="004048A0" w:rsidP="00EF4B7A">
            <w:pPr>
              <w:pStyle w:val="BodyText"/>
              <w:jc w:val="center"/>
              <w:rPr>
                <w:b/>
                <w:sz w:val="22"/>
                <w:szCs w:val="22"/>
                <w:lang w:val="en-US"/>
              </w:rPr>
            </w:pPr>
            <w:r w:rsidRPr="001B0B69">
              <w:rPr>
                <w:b/>
                <w:sz w:val="22"/>
                <w:szCs w:val="22"/>
                <w:lang w:val="en-US"/>
              </w:rPr>
              <w:t>Variabel</w:t>
            </w:r>
          </w:p>
        </w:tc>
        <w:tc>
          <w:tcPr>
            <w:tcW w:w="1134" w:type="dxa"/>
            <w:tcBorders>
              <w:top w:val="single" w:sz="4" w:space="0" w:color="auto"/>
              <w:left w:val="nil"/>
              <w:bottom w:val="single" w:sz="4" w:space="0" w:color="auto"/>
              <w:right w:val="nil"/>
            </w:tcBorders>
            <w:vAlign w:val="center"/>
            <w:hideMark/>
          </w:tcPr>
          <w:p w14:paraId="60107764" w14:textId="77777777" w:rsidR="004048A0" w:rsidRPr="001B0B69" w:rsidRDefault="004048A0" w:rsidP="00EF4B7A">
            <w:pPr>
              <w:pStyle w:val="BodyText"/>
              <w:jc w:val="center"/>
              <w:rPr>
                <w:b/>
                <w:sz w:val="22"/>
                <w:szCs w:val="22"/>
                <w:lang w:val="en-US"/>
              </w:rPr>
            </w:pPr>
            <w:r w:rsidRPr="001B0B69">
              <w:rPr>
                <w:b/>
                <w:sz w:val="22"/>
                <w:szCs w:val="22"/>
                <w:lang w:val="en-US"/>
              </w:rPr>
              <w:t>t</w:t>
            </w:r>
          </w:p>
        </w:tc>
        <w:tc>
          <w:tcPr>
            <w:tcW w:w="1696" w:type="dxa"/>
            <w:tcBorders>
              <w:top w:val="single" w:sz="4" w:space="0" w:color="auto"/>
              <w:left w:val="nil"/>
              <w:bottom w:val="single" w:sz="4" w:space="0" w:color="auto"/>
              <w:right w:val="nil"/>
            </w:tcBorders>
            <w:vAlign w:val="center"/>
            <w:hideMark/>
          </w:tcPr>
          <w:p w14:paraId="76DE6C35" w14:textId="5EF2D017" w:rsidR="004048A0" w:rsidRPr="001B0B69" w:rsidRDefault="004048A0" w:rsidP="00EF4B7A">
            <w:pPr>
              <w:pStyle w:val="BodyText"/>
              <w:jc w:val="center"/>
              <w:rPr>
                <w:b/>
                <w:sz w:val="22"/>
                <w:szCs w:val="22"/>
                <w:lang w:val="en-US"/>
              </w:rPr>
            </w:pPr>
            <w:r w:rsidRPr="001B0B69">
              <w:rPr>
                <w:b/>
                <w:sz w:val="22"/>
                <w:szCs w:val="22"/>
                <w:lang w:val="en-US"/>
              </w:rPr>
              <w:t>Sig&gt; 0.05</w:t>
            </w:r>
          </w:p>
        </w:tc>
        <w:tc>
          <w:tcPr>
            <w:tcW w:w="3402" w:type="dxa"/>
            <w:tcBorders>
              <w:top w:val="single" w:sz="4" w:space="0" w:color="auto"/>
              <w:left w:val="nil"/>
              <w:bottom w:val="single" w:sz="4" w:space="0" w:color="auto"/>
              <w:right w:val="nil"/>
            </w:tcBorders>
            <w:vAlign w:val="center"/>
            <w:hideMark/>
          </w:tcPr>
          <w:p w14:paraId="4DEA2E34" w14:textId="77777777" w:rsidR="004048A0" w:rsidRPr="001B0B69" w:rsidRDefault="004048A0" w:rsidP="00EF4B7A">
            <w:pPr>
              <w:pStyle w:val="BodyText"/>
              <w:jc w:val="center"/>
              <w:rPr>
                <w:b/>
                <w:sz w:val="22"/>
                <w:szCs w:val="22"/>
                <w:lang w:val="en-US"/>
              </w:rPr>
            </w:pPr>
            <w:r w:rsidRPr="001B0B69">
              <w:rPr>
                <w:b/>
                <w:sz w:val="22"/>
                <w:szCs w:val="22"/>
                <w:lang w:val="en-US"/>
              </w:rPr>
              <w:t>Information</w:t>
            </w:r>
          </w:p>
        </w:tc>
      </w:tr>
      <w:tr w:rsidR="004048A0" w:rsidRPr="001B0B69" w14:paraId="7D9F4D1E" w14:textId="77777777" w:rsidTr="001B5F36">
        <w:trPr>
          <w:trHeight w:val="54"/>
          <w:jc w:val="center"/>
        </w:trPr>
        <w:tc>
          <w:tcPr>
            <w:tcW w:w="2552" w:type="dxa"/>
            <w:tcBorders>
              <w:top w:val="single" w:sz="4" w:space="0" w:color="auto"/>
              <w:left w:val="nil"/>
              <w:bottom w:val="single" w:sz="4" w:space="0" w:color="auto"/>
              <w:right w:val="nil"/>
            </w:tcBorders>
            <w:vAlign w:val="center"/>
            <w:hideMark/>
          </w:tcPr>
          <w:p w14:paraId="684FA183" w14:textId="77777777" w:rsidR="004048A0" w:rsidRPr="001B0B69" w:rsidRDefault="004048A0" w:rsidP="00EF4B7A">
            <w:pPr>
              <w:pStyle w:val="BodyText"/>
              <w:jc w:val="center"/>
              <w:rPr>
                <w:bCs/>
                <w:sz w:val="22"/>
                <w:szCs w:val="22"/>
                <w:lang w:val="en-US"/>
              </w:rPr>
            </w:pPr>
            <w:r w:rsidRPr="001B0B69">
              <w:rPr>
                <w:bCs/>
                <w:sz w:val="22"/>
                <w:szCs w:val="22"/>
                <w:lang w:val="en-US"/>
              </w:rPr>
              <w:t>Budget Participation</w:t>
            </w:r>
          </w:p>
        </w:tc>
        <w:tc>
          <w:tcPr>
            <w:tcW w:w="1134" w:type="dxa"/>
            <w:tcBorders>
              <w:top w:val="single" w:sz="4" w:space="0" w:color="auto"/>
              <w:left w:val="nil"/>
              <w:bottom w:val="single" w:sz="4" w:space="0" w:color="auto"/>
              <w:right w:val="nil"/>
            </w:tcBorders>
            <w:hideMark/>
          </w:tcPr>
          <w:p w14:paraId="51F412CE" w14:textId="77777777" w:rsidR="004048A0" w:rsidRPr="001B0B69" w:rsidRDefault="004048A0" w:rsidP="00EF4B7A">
            <w:pPr>
              <w:pStyle w:val="BodyText"/>
              <w:jc w:val="center"/>
              <w:rPr>
                <w:sz w:val="22"/>
                <w:szCs w:val="22"/>
                <w:lang w:val="en-US"/>
              </w:rPr>
            </w:pPr>
            <w:r w:rsidRPr="001B0B69">
              <w:rPr>
                <w:sz w:val="22"/>
                <w:szCs w:val="22"/>
                <w:lang w:val="en-US"/>
              </w:rPr>
              <w:t>-1,754</w:t>
            </w:r>
          </w:p>
        </w:tc>
        <w:tc>
          <w:tcPr>
            <w:tcW w:w="1696" w:type="dxa"/>
            <w:tcBorders>
              <w:top w:val="single" w:sz="4" w:space="0" w:color="auto"/>
              <w:left w:val="nil"/>
              <w:bottom w:val="single" w:sz="4" w:space="0" w:color="auto"/>
              <w:right w:val="nil"/>
            </w:tcBorders>
            <w:hideMark/>
          </w:tcPr>
          <w:p w14:paraId="1B82381D" w14:textId="77777777" w:rsidR="004048A0" w:rsidRPr="001B0B69" w:rsidRDefault="004048A0" w:rsidP="00EF4B7A">
            <w:pPr>
              <w:pStyle w:val="BodyText"/>
              <w:jc w:val="center"/>
              <w:rPr>
                <w:sz w:val="22"/>
                <w:szCs w:val="22"/>
                <w:lang w:val="en-US"/>
              </w:rPr>
            </w:pPr>
            <w:r w:rsidRPr="001B0B69">
              <w:rPr>
                <w:sz w:val="22"/>
                <w:szCs w:val="22"/>
                <w:lang w:val="en-US"/>
              </w:rPr>
              <w:t>0,090</w:t>
            </w:r>
          </w:p>
        </w:tc>
        <w:tc>
          <w:tcPr>
            <w:tcW w:w="3402" w:type="dxa"/>
            <w:tcBorders>
              <w:top w:val="single" w:sz="4" w:space="0" w:color="auto"/>
              <w:left w:val="nil"/>
              <w:bottom w:val="single" w:sz="4" w:space="0" w:color="auto"/>
              <w:right w:val="nil"/>
            </w:tcBorders>
            <w:hideMark/>
          </w:tcPr>
          <w:p w14:paraId="6DAF6AC1" w14:textId="77777777" w:rsidR="004048A0" w:rsidRPr="001B0B69" w:rsidRDefault="004048A0" w:rsidP="00EF4B7A">
            <w:pPr>
              <w:pStyle w:val="BodyText"/>
              <w:jc w:val="center"/>
              <w:rPr>
                <w:sz w:val="22"/>
                <w:szCs w:val="22"/>
                <w:lang w:val="en-US"/>
              </w:rPr>
            </w:pPr>
            <w:r w:rsidRPr="001B0B69">
              <w:rPr>
                <w:sz w:val="22"/>
                <w:szCs w:val="22"/>
                <w:lang w:val="en-US"/>
              </w:rPr>
              <w:t>Heteroscedasticity does not occur</w:t>
            </w:r>
          </w:p>
        </w:tc>
      </w:tr>
      <w:tr w:rsidR="004048A0" w:rsidRPr="001B0B69" w14:paraId="055D1AA5" w14:textId="77777777" w:rsidTr="001B5F36">
        <w:trPr>
          <w:trHeight w:val="54"/>
          <w:jc w:val="center"/>
        </w:trPr>
        <w:tc>
          <w:tcPr>
            <w:tcW w:w="2552" w:type="dxa"/>
            <w:tcBorders>
              <w:top w:val="single" w:sz="4" w:space="0" w:color="auto"/>
              <w:left w:val="nil"/>
              <w:bottom w:val="single" w:sz="4" w:space="0" w:color="auto"/>
              <w:right w:val="nil"/>
            </w:tcBorders>
            <w:vAlign w:val="center"/>
            <w:hideMark/>
          </w:tcPr>
          <w:p w14:paraId="635E8463" w14:textId="77777777" w:rsidR="004048A0" w:rsidRPr="001B0B69" w:rsidRDefault="004048A0" w:rsidP="00EF4B7A">
            <w:pPr>
              <w:pStyle w:val="BodyText"/>
              <w:jc w:val="center"/>
              <w:rPr>
                <w:bCs/>
                <w:sz w:val="22"/>
                <w:szCs w:val="22"/>
                <w:lang w:val="en-US"/>
              </w:rPr>
            </w:pPr>
            <w:r w:rsidRPr="001B0B69">
              <w:rPr>
                <w:bCs/>
                <w:sz w:val="22"/>
                <w:szCs w:val="22"/>
                <w:lang w:val="en-US"/>
              </w:rPr>
              <w:t>Motivation</w:t>
            </w:r>
          </w:p>
        </w:tc>
        <w:tc>
          <w:tcPr>
            <w:tcW w:w="1134" w:type="dxa"/>
            <w:tcBorders>
              <w:top w:val="single" w:sz="4" w:space="0" w:color="auto"/>
              <w:left w:val="nil"/>
              <w:bottom w:val="single" w:sz="4" w:space="0" w:color="auto"/>
              <w:right w:val="nil"/>
            </w:tcBorders>
            <w:hideMark/>
          </w:tcPr>
          <w:p w14:paraId="3C09B9FC" w14:textId="77777777" w:rsidR="004048A0" w:rsidRPr="001B0B69" w:rsidRDefault="004048A0" w:rsidP="00EF4B7A">
            <w:pPr>
              <w:pStyle w:val="BodyText"/>
              <w:jc w:val="center"/>
              <w:rPr>
                <w:sz w:val="22"/>
                <w:szCs w:val="22"/>
                <w:lang w:val="en-US"/>
              </w:rPr>
            </w:pPr>
            <w:r w:rsidRPr="001B0B69">
              <w:rPr>
                <w:sz w:val="22"/>
                <w:szCs w:val="22"/>
                <w:lang w:val="en-US"/>
              </w:rPr>
              <w:t>-0,177</w:t>
            </w:r>
          </w:p>
        </w:tc>
        <w:tc>
          <w:tcPr>
            <w:tcW w:w="1696" w:type="dxa"/>
            <w:tcBorders>
              <w:top w:val="single" w:sz="4" w:space="0" w:color="auto"/>
              <w:left w:val="nil"/>
              <w:bottom w:val="single" w:sz="4" w:space="0" w:color="auto"/>
              <w:right w:val="nil"/>
            </w:tcBorders>
            <w:hideMark/>
          </w:tcPr>
          <w:p w14:paraId="5C30C13A" w14:textId="77777777" w:rsidR="004048A0" w:rsidRPr="001B0B69" w:rsidRDefault="004048A0" w:rsidP="00EF4B7A">
            <w:pPr>
              <w:pStyle w:val="BodyText"/>
              <w:jc w:val="center"/>
              <w:rPr>
                <w:sz w:val="22"/>
                <w:szCs w:val="22"/>
                <w:lang w:val="en-US"/>
              </w:rPr>
            </w:pPr>
            <w:r w:rsidRPr="001B0B69">
              <w:rPr>
                <w:sz w:val="22"/>
                <w:szCs w:val="22"/>
                <w:lang w:val="en-US"/>
              </w:rPr>
              <w:t>0,861</w:t>
            </w:r>
          </w:p>
        </w:tc>
        <w:tc>
          <w:tcPr>
            <w:tcW w:w="3402" w:type="dxa"/>
            <w:tcBorders>
              <w:top w:val="single" w:sz="4" w:space="0" w:color="auto"/>
              <w:left w:val="nil"/>
              <w:bottom w:val="single" w:sz="4" w:space="0" w:color="auto"/>
              <w:right w:val="nil"/>
            </w:tcBorders>
            <w:hideMark/>
          </w:tcPr>
          <w:p w14:paraId="5571AF40" w14:textId="77777777" w:rsidR="004048A0" w:rsidRPr="001B0B69" w:rsidRDefault="004048A0" w:rsidP="00EF4B7A">
            <w:pPr>
              <w:pStyle w:val="BodyText"/>
              <w:jc w:val="center"/>
              <w:rPr>
                <w:sz w:val="22"/>
                <w:szCs w:val="22"/>
                <w:lang w:val="en-US"/>
              </w:rPr>
            </w:pPr>
            <w:r w:rsidRPr="001B0B69">
              <w:rPr>
                <w:sz w:val="22"/>
                <w:szCs w:val="22"/>
                <w:lang w:val="en-US"/>
              </w:rPr>
              <w:t>Heteroscedasticity does not occur</w:t>
            </w:r>
          </w:p>
        </w:tc>
      </w:tr>
      <w:tr w:rsidR="004048A0" w:rsidRPr="001B0B69" w14:paraId="62584D22" w14:textId="77777777" w:rsidTr="001B5F36">
        <w:trPr>
          <w:trHeight w:val="54"/>
          <w:jc w:val="center"/>
        </w:trPr>
        <w:tc>
          <w:tcPr>
            <w:tcW w:w="2552" w:type="dxa"/>
            <w:tcBorders>
              <w:top w:val="single" w:sz="4" w:space="0" w:color="auto"/>
              <w:left w:val="nil"/>
              <w:bottom w:val="single" w:sz="4" w:space="0" w:color="auto"/>
              <w:right w:val="nil"/>
            </w:tcBorders>
            <w:vAlign w:val="center"/>
            <w:hideMark/>
          </w:tcPr>
          <w:p w14:paraId="5FD3F119" w14:textId="77777777" w:rsidR="004048A0" w:rsidRPr="001B0B69" w:rsidRDefault="004048A0" w:rsidP="00EF4B7A">
            <w:pPr>
              <w:pStyle w:val="BodyText"/>
              <w:jc w:val="center"/>
              <w:rPr>
                <w:bCs/>
                <w:sz w:val="22"/>
                <w:szCs w:val="22"/>
                <w:lang w:val="en-US"/>
              </w:rPr>
            </w:pPr>
            <w:r w:rsidRPr="001B0B69">
              <w:rPr>
                <w:bCs/>
                <w:sz w:val="22"/>
                <w:szCs w:val="22"/>
                <w:lang w:val="en-US"/>
              </w:rPr>
              <w:t>Competence</w:t>
            </w:r>
          </w:p>
        </w:tc>
        <w:tc>
          <w:tcPr>
            <w:tcW w:w="1134" w:type="dxa"/>
            <w:tcBorders>
              <w:top w:val="single" w:sz="4" w:space="0" w:color="auto"/>
              <w:left w:val="nil"/>
              <w:bottom w:val="single" w:sz="4" w:space="0" w:color="auto"/>
              <w:right w:val="nil"/>
            </w:tcBorders>
            <w:hideMark/>
          </w:tcPr>
          <w:p w14:paraId="60D53F05" w14:textId="77777777" w:rsidR="004048A0" w:rsidRPr="001B0B69" w:rsidRDefault="004048A0" w:rsidP="00EF4B7A">
            <w:pPr>
              <w:pStyle w:val="BodyText"/>
              <w:jc w:val="center"/>
              <w:rPr>
                <w:sz w:val="22"/>
                <w:szCs w:val="22"/>
                <w:lang w:val="en-US"/>
              </w:rPr>
            </w:pPr>
            <w:r w:rsidRPr="001B0B69">
              <w:rPr>
                <w:sz w:val="22"/>
                <w:szCs w:val="22"/>
                <w:lang w:val="en-US"/>
              </w:rPr>
              <w:t>1,629</w:t>
            </w:r>
          </w:p>
        </w:tc>
        <w:tc>
          <w:tcPr>
            <w:tcW w:w="1696" w:type="dxa"/>
            <w:tcBorders>
              <w:top w:val="single" w:sz="4" w:space="0" w:color="auto"/>
              <w:left w:val="nil"/>
              <w:bottom w:val="single" w:sz="4" w:space="0" w:color="auto"/>
              <w:right w:val="nil"/>
            </w:tcBorders>
            <w:hideMark/>
          </w:tcPr>
          <w:p w14:paraId="6FDF9514" w14:textId="77777777" w:rsidR="004048A0" w:rsidRPr="001B0B69" w:rsidRDefault="004048A0" w:rsidP="00EF4B7A">
            <w:pPr>
              <w:pStyle w:val="BodyText"/>
              <w:jc w:val="center"/>
              <w:rPr>
                <w:sz w:val="22"/>
                <w:szCs w:val="22"/>
                <w:lang w:val="en-US"/>
              </w:rPr>
            </w:pPr>
            <w:r w:rsidRPr="001B0B69">
              <w:rPr>
                <w:sz w:val="22"/>
                <w:szCs w:val="22"/>
                <w:lang w:val="en-US"/>
              </w:rPr>
              <w:t>0,114</w:t>
            </w:r>
          </w:p>
        </w:tc>
        <w:tc>
          <w:tcPr>
            <w:tcW w:w="3402" w:type="dxa"/>
            <w:tcBorders>
              <w:top w:val="single" w:sz="4" w:space="0" w:color="auto"/>
              <w:left w:val="nil"/>
              <w:bottom w:val="single" w:sz="4" w:space="0" w:color="auto"/>
              <w:right w:val="nil"/>
            </w:tcBorders>
            <w:hideMark/>
          </w:tcPr>
          <w:p w14:paraId="6F67208A" w14:textId="77777777" w:rsidR="004048A0" w:rsidRPr="001B0B69" w:rsidRDefault="004048A0" w:rsidP="00EF4B7A">
            <w:pPr>
              <w:pStyle w:val="BodyText"/>
              <w:jc w:val="center"/>
              <w:rPr>
                <w:sz w:val="22"/>
                <w:szCs w:val="22"/>
                <w:lang w:val="en-US"/>
              </w:rPr>
            </w:pPr>
            <w:r w:rsidRPr="001B0B69">
              <w:rPr>
                <w:sz w:val="22"/>
                <w:szCs w:val="22"/>
                <w:lang w:val="en-US"/>
              </w:rPr>
              <w:t>Heteroscedasticity does not occur</w:t>
            </w:r>
          </w:p>
        </w:tc>
      </w:tr>
      <w:tr w:rsidR="004048A0" w:rsidRPr="001B0B69" w14:paraId="7AC5CE04" w14:textId="77777777" w:rsidTr="001B5F36">
        <w:trPr>
          <w:trHeight w:val="54"/>
          <w:jc w:val="center"/>
        </w:trPr>
        <w:tc>
          <w:tcPr>
            <w:tcW w:w="8784" w:type="dxa"/>
            <w:gridSpan w:val="4"/>
            <w:tcBorders>
              <w:top w:val="single" w:sz="4" w:space="0" w:color="auto"/>
              <w:left w:val="nil"/>
              <w:bottom w:val="nil"/>
              <w:right w:val="nil"/>
            </w:tcBorders>
            <w:hideMark/>
          </w:tcPr>
          <w:p w14:paraId="70940D0E" w14:textId="77777777" w:rsidR="004048A0" w:rsidRPr="001B0B69" w:rsidRDefault="004048A0" w:rsidP="00EF4B7A">
            <w:pPr>
              <w:pStyle w:val="BodyText"/>
              <w:jc w:val="both"/>
              <w:rPr>
                <w:sz w:val="22"/>
                <w:szCs w:val="22"/>
                <w:lang w:val="en-US"/>
              </w:rPr>
            </w:pPr>
            <w:r w:rsidRPr="001B0B69">
              <w:rPr>
                <w:i/>
                <w:sz w:val="22"/>
                <w:szCs w:val="22"/>
                <w:lang w:val="en-US"/>
              </w:rPr>
              <w:t>Source: SPSS appendix processed by the researcher from appendix p. 129</w:t>
            </w:r>
          </w:p>
        </w:tc>
      </w:tr>
    </w:tbl>
    <w:p w14:paraId="6D90337B" w14:textId="77777777" w:rsidR="006B354F" w:rsidRPr="001B0B69" w:rsidRDefault="006B354F" w:rsidP="004048A0">
      <w:pPr>
        <w:spacing w:line="276" w:lineRule="auto"/>
        <w:ind w:firstLine="709"/>
        <w:rPr>
          <w:color w:val="000000" w:themeColor="text1"/>
        </w:rPr>
      </w:pPr>
    </w:p>
    <w:p w14:paraId="5512045B" w14:textId="0D400F1B" w:rsidR="004048A0" w:rsidRPr="001B0B69" w:rsidRDefault="004048A0" w:rsidP="004048A0">
      <w:pPr>
        <w:spacing w:line="276" w:lineRule="auto"/>
        <w:ind w:firstLine="709"/>
        <w:rPr>
          <w:color w:val="000000" w:themeColor="text1"/>
        </w:rPr>
      </w:pPr>
      <w:r w:rsidRPr="001B0B69">
        <w:rPr>
          <w:color w:val="000000" w:themeColor="text1"/>
        </w:rPr>
        <w:t xml:space="preserve">Table </w:t>
      </w:r>
      <w:r w:rsidR="006E796F" w:rsidRPr="001B0B69">
        <w:rPr>
          <w:color w:val="000000" w:themeColor="text1"/>
        </w:rPr>
        <w:t>8</w:t>
      </w:r>
      <w:r w:rsidRPr="001B0B69">
        <w:rPr>
          <w:color w:val="000000" w:themeColor="text1"/>
        </w:rPr>
        <w:t xml:space="preserve"> presents the results of the Heteroscedasticity test using the Glejser test on the X1 variable showing p-value = 0.090 &gt; (0.05), thus accepting Ho, in other words in the X1 variable there is no heteroscedasticity. The variable X2 has a p-value = 0.861 &gt; (0.05), so it accepts H0, in other words in variable X2 there is no heteroscedasticity. The variable X3 has a p-value = 0.114 &gt; (0.05), so accept Ho, in other words that in the variable X3 there is no heteroscedasticity.</w:t>
      </w:r>
    </w:p>
    <w:p w14:paraId="78D1CEF0" w14:textId="77777777" w:rsidR="006E796F" w:rsidRPr="001B0B69" w:rsidRDefault="006E796F" w:rsidP="00EF4B7A">
      <w:pPr>
        <w:spacing w:line="276" w:lineRule="auto"/>
        <w:rPr>
          <w:b/>
          <w:bCs/>
          <w:color w:val="000000" w:themeColor="text1"/>
        </w:rPr>
      </w:pPr>
    </w:p>
    <w:p w14:paraId="2F3DF0AD" w14:textId="7FD711C6" w:rsidR="004048A0" w:rsidRPr="001B0B69" w:rsidRDefault="004048A0" w:rsidP="00EF4B7A">
      <w:pPr>
        <w:spacing w:line="276" w:lineRule="auto"/>
        <w:rPr>
          <w:b/>
          <w:bCs/>
          <w:color w:val="000000" w:themeColor="text1"/>
        </w:rPr>
      </w:pPr>
      <w:r w:rsidRPr="001B0B69">
        <w:rPr>
          <w:b/>
          <w:bCs/>
          <w:color w:val="000000" w:themeColor="text1"/>
        </w:rPr>
        <w:t>Multiple Linear Regression Analysis</w:t>
      </w:r>
    </w:p>
    <w:p w14:paraId="7646D99D" w14:textId="23FCD0B0" w:rsidR="004048A0" w:rsidRPr="001B0B69" w:rsidRDefault="004048A0" w:rsidP="001B5F36">
      <w:pPr>
        <w:spacing w:line="276" w:lineRule="auto"/>
        <w:rPr>
          <w:b/>
          <w:bCs/>
          <w:i/>
          <w:iCs/>
          <w:color w:val="000000" w:themeColor="text1"/>
        </w:rPr>
      </w:pPr>
      <w:r w:rsidRPr="001B0B69">
        <w:rPr>
          <w:b/>
          <w:bCs/>
          <w:i/>
          <w:iCs/>
          <w:color w:val="000000" w:themeColor="text1"/>
        </w:rPr>
        <w:t>Model Goodness Measure (Coefficient of Determination)</w:t>
      </w:r>
    </w:p>
    <w:p w14:paraId="171741CA" w14:textId="77777777" w:rsidR="004048A0" w:rsidRPr="001B0B69" w:rsidRDefault="004048A0" w:rsidP="004048A0">
      <w:pPr>
        <w:spacing w:line="276" w:lineRule="auto"/>
        <w:ind w:firstLine="709"/>
        <w:rPr>
          <w:color w:val="000000" w:themeColor="text1"/>
        </w:rPr>
      </w:pPr>
      <w:r w:rsidRPr="001B0B69">
        <w:rPr>
          <w:color w:val="000000" w:themeColor="text1"/>
        </w:rPr>
        <w:t xml:space="preserve">The determination coefficient (R²) is used to measure the extent to which the regression model is able to explain the variation of dependent variables. According to Imam Ghozali (2016), the value of R² ranges from 0 to 1. The closer it is to 1 (or 100%), the greater the proportion of variability of dependent variables that can be explained by independent variables in the model. However, in regression analysis, Adjusted R Square is more commonly used because it can correct for the weakness of R². </w:t>
      </w:r>
    </w:p>
    <w:p w14:paraId="7243AFA2" w14:textId="77777777" w:rsidR="004048A0" w:rsidRPr="001B0B69" w:rsidRDefault="004048A0" w:rsidP="004048A0">
      <w:pPr>
        <w:spacing w:line="276" w:lineRule="auto"/>
        <w:ind w:firstLine="709"/>
        <w:rPr>
          <w:color w:val="000000" w:themeColor="text1"/>
        </w:rPr>
      </w:pPr>
      <w:r w:rsidRPr="001B0B69">
        <w:rPr>
          <w:color w:val="000000" w:themeColor="text1"/>
        </w:rPr>
        <w:t>The advantage of Adjusted R Square is that it is unbiased to the number of independent variables included in the model, it can go up or down when new independent variables are added, depending on whether they actually contribute to explaining the dependent variable. Unlike R² which always increases when an independent variable is added, the Adjusted R Square only increases if the new variable is relevant. The results of the determination coefficient test can be seen in the following table:</w:t>
      </w:r>
    </w:p>
    <w:p w14:paraId="1DCC8DC8" w14:textId="77777777" w:rsidR="006E796F" w:rsidRPr="001B0B69" w:rsidRDefault="006E796F" w:rsidP="006E796F">
      <w:pPr>
        <w:spacing w:line="276" w:lineRule="auto"/>
        <w:jc w:val="center"/>
        <w:rPr>
          <w:color w:val="000000" w:themeColor="text1"/>
        </w:rPr>
      </w:pPr>
    </w:p>
    <w:p w14:paraId="7A9AA8B5" w14:textId="5C1F7C6B" w:rsidR="004048A0" w:rsidRPr="001B0B69" w:rsidRDefault="004048A0" w:rsidP="006E796F">
      <w:pPr>
        <w:spacing w:line="276" w:lineRule="auto"/>
        <w:jc w:val="center"/>
        <w:rPr>
          <w:color w:val="000000" w:themeColor="text1"/>
        </w:rPr>
      </w:pPr>
      <w:r w:rsidRPr="001B0B69">
        <w:rPr>
          <w:color w:val="000000" w:themeColor="text1"/>
        </w:rPr>
        <w:t xml:space="preserve">Table </w:t>
      </w:r>
      <w:r w:rsidR="006E796F" w:rsidRPr="001B0B69">
        <w:rPr>
          <w:color w:val="000000" w:themeColor="text1"/>
        </w:rPr>
        <w:t xml:space="preserve">9. </w:t>
      </w:r>
      <w:r w:rsidRPr="001B0B69">
        <w:rPr>
          <w:color w:val="000000" w:themeColor="text1"/>
        </w:rPr>
        <w:t>Measure of Regression Model Goodness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964"/>
      </w:tblGrid>
      <w:tr w:rsidR="004048A0" w:rsidRPr="001B0B69" w14:paraId="788F8AAA" w14:textId="77777777" w:rsidTr="001B5F36">
        <w:trPr>
          <w:trHeight w:val="276"/>
          <w:jc w:val="center"/>
        </w:trPr>
        <w:tc>
          <w:tcPr>
            <w:tcW w:w="2552" w:type="dxa"/>
            <w:tcBorders>
              <w:top w:val="single" w:sz="4" w:space="0" w:color="auto"/>
              <w:left w:val="nil"/>
              <w:bottom w:val="single" w:sz="4" w:space="0" w:color="auto"/>
              <w:right w:val="nil"/>
            </w:tcBorders>
            <w:hideMark/>
          </w:tcPr>
          <w:p w14:paraId="4284EEFE" w14:textId="77777777" w:rsidR="004048A0" w:rsidRPr="001B0B69" w:rsidRDefault="004048A0" w:rsidP="00EF4B7A">
            <w:pPr>
              <w:pStyle w:val="BodyText"/>
              <w:jc w:val="center"/>
              <w:rPr>
                <w:b/>
                <w:sz w:val="22"/>
                <w:szCs w:val="22"/>
                <w:lang w:val="en-US"/>
              </w:rPr>
            </w:pPr>
            <w:r w:rsidRPr="001B0B69">
              <w:rPr>
                <w:b/>
                <w:sz w:val="22"/>
                <w:szCs w:val="22"/>
                <w:lang w:val="en-US"/>
              </w:rPr>
              <w:t>R</w:t>
            </w:r>
          </w:p>
        </w:tc>
        <w:tc>
          <w:tcPr>
            <w:tcW w:w="3964" w:type="dxa"/>
            <w:tcBorders>
              <w:top w:val="single" w:sz="4" w:space="0" w:color="auto"/>
              <w:left w:val="nil"/>
              <w:bottom w:val="single" w:sz="4" w:space="0" w:color="auto"/>
              <w:right w:val="nil"/>
            </w:tcBorders>
            <w:hideMark/>
          </w:tcPr>
          <w:p w14:paraId="00D14D4F" w14:textId="77777777" w:rsidR="004048A0" w:rsidRPr="001B0B69" w:rsidRDefault="004048A0" w:rsidP="00EF4B7A">
            <w:pPr>
              <w:pStyle w:val="BodyText"/>
              <w:jc w:val="center"/>
              <w:rPr>
                <w:sz w:val="22"/>
                <w:szCs w:val="22"/>
                <w:lang w:val="en-US"/>
              </w:rPr>
            </w:pPr>
            <w:r w:rsidRPr="001B0B69">
              <w:rPr>
                <w:sz w:val="22"/>
                <w:szCs w:val="22"/>
                <w:lang w:val="en-US"/>
              </w:rPr>
              <w:t>0,801</w:t>
            </w:r>
          </w:p>
        </w:tc>
      </w:tr>
      <w:tr w:rsidR="004048A0" w:rsidRPr="001B0B69" w14:paraId="5516F3D7" w14:textId="77777777" w:rsidTr="001B5F36">
        <w:trPr>
          <w:trHeight w:val="275"/>
          <w:jc w:val="center"/>
        </w:trPr>
        <w:tc>
          <w:tcPr>
            <w:tcW w:w="2552" w:type="dxa"/>
            <w:tcBorders>
              <w:top w:val="single" w:sz="4" w:space="0" w:color="auto"/>
              <w:left w:val="nil"/>
              <w:bottom w:val="single" w:sz="4" w:space="0" w:color="auto"/>
              <w:right w:val="nil"/>
            </w:tcBorders>
            <w:hideMark/>
          </w:tcPr>
          <w:p w14:paraId="35C79A17" w14:textId="77777777" w:rsidR="004048A0" w:rsidRPr="001B0B69" w:rsidRDefault="004048A0" w:rsidP="00EF4B7A">
            <w:pPr>
              <w:pStyle w:val="BodyText"/>
              <w:jc w:val="center"/>
              <w:rPr>
                <w:b/>
                <w:sz w:val="22"/>
                <w:szCs w:val="22"/>
                <w:lang w:val="en-US"/>
              </w:rPr>
            </w:pPr>
            <w:r w:rsidRPr="001B0B69">
              <w:rPr>
                <w:b/>
                <w:sz w:val="22"/>
                <w:szCs w:val="22"/>
                <w:lang w:val="en-US"/>
              </w:rPr>
              <w:t>R-Square</w:t>
            </w:r>
          </w:p>
        </w:tc>
        <w:tc>
          <w:tcPr>
            <w:tcW w:w="3964" w:type="dxa"/>
            <w:tcBorders>
              <w:top w:val="single" w:sz="4" w:space="0" w:color="auto"/>
              <w:left w:val="nil"/>
              <w:bottom w:val="single" w:sz="4" w:space="0" w:color="auto"/>
              <w:right w:val="nil"/>
            </w:tcBorders>
            <w:hideMark/>
          </w:tcPr>
          <w:p w14:paraId="456F2CD0" w14:textId="77777777" w:rsidR="004048A0" w:rsidRPr="001B0B69" w:rsidRDefault="004048A0" w:rsidP="00EF4B7A">
            <w:pPr>
              <w:pStyle w:val="BodyText"/>
              <w:jc w:val="center"/>
              <w:rPr>
                <w:sz w:val="22"/>
                <w:szCs w:val="22"/>
                <w:lang w:val="en-US"/>
              </w:rPr>
            </w:pPr>
            <w:r w:rsidRPr="001B0B69">
              <w:rPr>
                <w:sz w:val="22"/>
                <w:szCs w:val="22"/>
                <w:lang w:val="en-US"/>
              </w:rPr>
              <w:t>0,642</w:t>
            </w:r>
          </w:p>
        </w:tc>
      </w:tr>
      <w:tr w:rsidR="004048A0" w:rsidRPr="001B0B69" w14:paraId="1FA905EA" w14:textId="77777777" w:rsidTr="001B5F36">
        <w:trPr>
          <w:trHeight w:val="275"/>
          <w:jc w:val="center"/>
        </w:trPr>
        <w:tc>
          <w:tcPr>
            <w:tcW w:w="2552" w:type="dxa"/>
            <w:tcBorders>
              <w:top w:val="single" w:sz="4" w:space="0" w:color="auto"/>
              <w:left w:val="nil"/>
              <w:bottom w:val="single" w:sz="4" w:space="0" w:color="auto"/>
              <w:right w:val="nil"/>
            </w:tcBorders>
            <w:hideMark/>
          </w:tcPr>
          <w:p w14:paraId="6C95557F" w14:textId="77777777" w:rsidR="004048A0" w:rsidRPr="001B0B69" w:rsidRDefault="004048A0" w:rsidP="00EF4B7A">
            <w:pPr>
              <w:pStyle w:val="BodyText"/>
              <w:jc w:val="center"/>
              <w:rPr>
                <w:b/>
                <w:sz w:val="22"/>
                <w:szCs w:val="22"/>
                <w:lang w:val="en-US"/>
              </w:rPr>
            </w:pPr>
            <w:r w:rsidRPr="001B0B69">
              <w:rPr>
                <w:b/>
                <w:sz w:val="22"/>
                <w:szCs w:val="22"/>
                <w:lang w:val="en-US"/>
              </w:rPr>
              <w:t>Adjusted R-Squared</w:t>
            </w:r>
          </w:p>
        </w:tc>
        <w:tc>
          <w:tcPr>
            <w:tcW w:w="3964" w:type="dxa"/>
            <w:tcBorders>
              <w:top w:val="single" w:sz="4" w:space="0" w:color="auto"/>
              <w:left w:val="nil"/>
              <w:bottom w:val="single" w:sz="4" w:space="0" w:color="auto"/>
              <w:right w:val="nil"/>
            </w:tcBorders>
            <w:hideMark/>
          </w:tcPr>
          <w:p w14:paraId="37FDD389" w14:textId="77777777" w:rsidR="004048A0" w:rsidRPr="001B0B69" w:rsidRDefault="004048A0" w:rsidP="00EF4B7A">
            <w:pPr>
              <w:pStyle w:val="BodyText"/>
              <w:jc w:val="center"/>
              <w:rPr>
                <w:sz w:val="22"/>
                <w:szCs w:val="22"/>
                <w:lang w:val="en-US"/>
              </w:rPr>
            </w:pPr>
            <w:r w:rsidRPr="001B0B69">
              <w:rPr>
                <w:sz w:val="22"/>
                <w:szCs w:val="22"/>
                <w:lang w:val="en-US"/>
              </w:rPr>
              <w:t>0,605</w:t>
            </w:r>
          </w:p>
        </w:tc>
      </w:tr>
      <w:tr w:rsidR="004048A0" w:rsidRPr="001B0B69" w14:paraId="750CFF58" w14:textId="77777777" w:rsidTr="001B5F36">
        <w:trPr>
          <w:trHeight w:val="54"/>
          <w:jc w:val="center"/>
        </w:trPr>
        <w:tc>
          <w:tcPr>
            <w:tcW w:w="6516" w:type="dxa"/>
            <w:gridSpan w:val="2"/>
            <w:tcBorders>
              <w:top w:val="single" w:sz="4" w:space="0" w:color="auto"/>
              <w:left w:val="nil"/>
              <w:bottom w:val="nil"/>
              <w:right w:val="nil"/>
            </w:tcBorders>
          </w:tcPr>
          <w:p w14:paraId="7364974B" w14:textId="43639A4D" w:rsidR="004048A0" w:rsidRPr="001B0B69" w:rsidRDefault="004048A0" w:rsidP="00EF4B7A">
            <w:pPr>
              <w:pStyle w:val="BodyText"/>
              <w:jc w:val="both"/>
              <w:rPr>
                <w:i/>
                <w:sz w:val="22"/>
                <w:szCs w:val="22"/>
                <w:lang w:val="en-US"/>
              </w:rPr>
            </w:pPr>
            <w:r w:rsidRPr="001B0B69">
              <w:rPr>
                <w:i/>
                <w:sz w:val="22"/>
                <w:szCs w:val="22"/>
                <w:lang w:val="en-US"/>
              </w:rPr>
              <w:t>Source: SPSS appendix processed by the researcher from appendix p. 129</w:t>
            </w:r>
          </w:p>
        </w:tc>
      </w:tr>
    </w:tbl>
    <w:p w14:paraId="31F3B16B" w14:textId="77777777" w:rsidR="001B0B69" w:rsidRPr="001B0B69" w:rsidRDefault="001B0B69" w:rsidP="004048A0">
      <w:pPr>
        <w:spacing w:line="276" w:lineRule="auto"/>
        <w:ind w:firstLine="709"/>
        <w:rPr>
          <w:color w:val="000000" w:themeColor="text1"/>
        </w:rPr>
      </w:pPr>
    </w:p>
    <w:p w14:paraId="16AF3B9B" w14:textId="61987CAC" w:rsidR="004048A0" w:rsidRPr="001B0B69" w:rsidRDefault="004048A0" w:rsidP="004048A0">
      <w:pPr>
        <w:spacing w:line="276" w:lineRule="auto"/>
        <w:ind w:firstLine="709"/>
        <w:rPr>
          <w:color w:val="000000" w:themeColor="text1"/>
        </w:rPr>
      </w:pPr>
      <w:r w:rsidRPr="001B0B69">
        <w:rPr>
          <w:color w:val="000000" w:themeColor="text1"/>
        </w:rPr>
        <w:t xml:space="preserve">Table </w:t>
      </w:r>
      <w:r w:rsidR="006E796F" w:rsidRPr="001B0B69">
        <w:rPr>
          <w:color w:val="000000" w:themeColor="text1"/>
        </w:rPr>
        <w:t xml:space="preserve">9 </w:t>
      </w:r>
      <w:r w:rsidRPr="001B0B69">
        <w:rPr>
          <w:color w:val="000000" w:themeColor="text1"/>
        </w:rPr>
        <w:t>shows that the Adjusted R-Squared value of 0.605 or 60.5% variability in variable Y (managerial performance) can be explained by the independent variables contained in the model. The remaining 39.5% is explained by other variables outside the model.</w:t>
      </w:r>
    </w:p>
    <w:p w14:paraId="452BE162" w14:textId="77777777" w:rsidR="006E796F" w:rsidRPr="001B0B69" w:rsidRDefault="006E796F" w:rsidP="00EF4B7A">
      <w:pPr>
        <w:spacing w:line="276" w:lineRule="auto"/>
        <w:rPr>
          <w:b/>
          <w:bCs/>
          <w:color w:val="000000" w:themeColor="text1"/>
        </w:rPr>
      </w:pPr>
    </w:p>
    <w:p w14:paraId="5B8E694C" w14:textId="62F752AF" w:rsidR="004048A0" w:rsidRPr="001B0B69" w:rsidRDefault="004048A0" w:rsidP="001B5F36">
      <w:pPr>
        <w:spacing w:line="276" w:lineRule="auto"/>
        <w:rPr>
          <w:b/>
          <w:bCs/>
          <w:i/>
          <w:iCs/>
          <w:color w:val="000000" w:themeColor="text1"/>
        </w:rPr>
      </w:pPr>
      <w:r w:rsidRPr="001B0B69">
        <w:rPr>
          <w:b/>
          <w:bCs/>
          <w:i/>
          <w:iCs/>
          <w:color w:val="000000" w:themeColor="text1"/>
        </w:rPr>
        <w:t>Simultaneous Test (F Test)</w:t>
      </w:r>
    </w:p>
    <w:p w14:paraId="016A6719" w14:textId="77777777" w:rsidR="004048A0" w:rsidRPr="001B0B69" w:rsidRDefault="004048A0" w:rsidP="004048A0">
      <w:pPr>
        <w:spacing w:line="276" w:lineRule="auto"/>
        <w:ind w:firstLine="709"/>
        <w:rPr>
          <w:color w:val="000000" w:themeColor="text1"/>
        </w:rPr>
      </w:pPr>
      <w:r w:rsidRPr="001B0B69">
        <w:rPr>
          <w:color w:val="000000" w:themeColor="text1"/>
        </w:rPr>
        <w:t>The F test shows whether the independent variables included in the model have an influence on the dependent variables. The criteria for decision-making are:</w:t>
      </w:r>
    </w:p>
    <w:p w14:paraId="6A01DF6E" w14:textId="6D5BAED3" w:rsidR="004048A0" w:rsidRPr="001B0B69" w:rsidRDefault="004048A0" w:rsidP="00EF4B7A">
      <w:pPr>
        <w:pStyle w:val="ListParagraph"/>
        <w:numPr>
          <w:ilvl w:val="0"/>
          <w:numId w:val="31"/>
        </w:numPr>
        <w:spacing w:line="276" w:lineRule="auto"/>
        <w:rPr>
          <w:color w:val="000000" w:themeColor="text1"/>
        </w:rPr>
      </w:pPr>
      <w:r w:rsidRPr="001B0B69">
        <w:rPr>
          <w:color w:val="000000" w:themeColor="text1"/>
        </w:rPr>
        <w:lastRenderedPageBreak/>
        <w:t>If F calculates &gt; F table or probability &lt; significant value (Sig ≤ 0.05), then the hypothesis can be rejected, this means that simultaneously independent variables have a significant influence on dependent variables.</w:t>
      </w:r>
    </w:p>
    <w:p w14:paraId="64E56563" w14:textId="21FD2911" w:rsidR="004048A0" w:rsidRPr="001B0B69" w:rsidRDefault="004048A0" w:rsidP="00EF4B7A">
      <w:pPr>
        <w:pStyle w:val="ListParagraph"/>
        <w:numPr>
          <w:ilvl w:val="0"/>
          <w:numId w:val="31"/>
        </w:numPr>
        <w:spacing w:line="276" w:lineRule="auto"/>
        <w:rPr>
          <w:color w:val="000000" w:themeColor="text1"/>
        </w:rPr>
      </w:pPr>
      <w:r w:rsidRPr="001B0B69">
        <w:rPr>
          <w:color w:val="000000" w:themeColor="text1"/>
        </w:rPr>
        <w:t>If F calculates &lt; F table or probability &gt; significant value (Sig ≥ 0.05), then the hypothesis is accepted, this means that simultaneously independent variables do not have a significant influence on dependent variables.</w:t>
      </w:r>
    </w:p>
    <w:p w14:paraId="4F6F77E2" w14:textId="36EA5777" w:rsidR="004048A0" w:rsidRPr="001B0B69" w:rsidRDefault="004048A0" w:rsidP="006E796F">
      <w:pPr>
        <w:spacing w:line="276" w:lineRule="auto"/>
        <w:rPr>
          <w:color w:val="000000" w:themeColor="text1"/>
        </w:rPr>
      </w:pPr>
      <w:r w:rsidRPr="001B0B69">
        <w:rPr>
          <w:color w:val="000000" w:themeColor="text1"/>
        </w:rPr>
        <w:t>The results of the F Test can be seen in the following table:</w:t>
      </w:r>
    </w:p>
    <w:p w14:paraId="7001419B" w14:textId="77777777" w:rsidR="001B0B69" w:rsidRPr="001B0B69" w:rsidRDefault="001B0B69" w:rsidP="00EF4B7A">
      <w:pPr>
        <w:spacing w:line="276" w:lineRule="auto"/>
        <w:ind w:firstLine="709"/>
        <w:jc w:val="center"/>
        <w:rPr>
          <w:color w:val="000000" w:themeColor="text1"/>
        </w:rPr>
      </w:pPr>
    </w:p>
    <w:p w14:paraId="5A9F4E9A" w14:textId="6CEA3507" w:rsidR="004048A0" w:rsidRPr="001B0B69" w:rsidRDefault="004048A0" w:rsidP="00EF4B7A">
      <w:pPr>
        <w:spacing w:line="276" w:lineRule="auto"/>
        <w:ind w:firstLine="709"/>
        <w:jc w:val="center"/>
        <w:rPr>
          <w:color w:val="000000" w:themeColor="text1"/>
        </w:rPr>
      </w:pPr>
      <w:r w:rsidRPr="001B0B69">
        <w:rPr>
          <w:color w:val="000000" w:themeColor="text1"/>
        </w:rPr>
        <w:t xml:space="preserve">Table </w:t>
      </w:r>
      <w:r w:rsidR="006E796F" w:rsidRPr="001B0B69">
        <w:rPr>
          <w:color w:val="000000" w:themeColor="text1"/>
        </w:rPr>
        <w:t>10.</w:t>
      </w:r>
      <w:r w:rsidRPr="001B0B69">
        <w:rPr>
          <w:color w:val="000000" w:themeColor="text1"/>
        </w:rPr>
        <w:t xml:space="preserve"> Simultaneous Tests</w:t>
      </w:r>
    </w:p>
    <w:tbl>
      <w:tblPr>
        <w:tblW w:w="8723" w:type="dxa"/>
        <w:jc w:val="center"/>
        <w:tblLayout w:type="fixed"/>
        <w:tblCellMar>
          <w:left w:w="0" w:type="dxa"/>
          <w:right w:w="0" w:type="dxa"/>
        </w:tblCellMar>
        <w:tblLook w:val="01E0" w:firstRow="1" w:lastRow="1" w:firstColumn="1" w:lastColumn="1" w:noHBand="0" w:noVBand="0"/>
      </w:tblPr>
      <w:tblGrid>
        <w:gridCol w:w="240"/>
        <w:gridCol w:w="1489"/>
        <w:gridCol w:w="2256"/>
        <w:gridCol w:w="851"/>
        <w:gridCol w:w="1827"/>
        <w:gridCol w:w="1030"/>
        <w:gridCol w:w="1030"/>
      </w:tblGrid>
      <w:tr w:rsidR="004048A0" w:rsidRPr="001B0B69" w14:paraId="2B765641" w14:textId="77777777" w:rsidTr="001B5F36">
        <w:trPr>
          <w:trHeight w:val="54"/>
          <w:jc w:val="center"/>
        </w:trPr>
        <w:tc>
          <w:tcPr>
            <w:tcW w:w="1729" w:type="dxa"/>
            <w:gridSpan w:val="2"/>
            <w:tcBorders>
              <w:top w:val="single" w:sz="4" w:space="0" w:color="auto"/>
              <w:bottom w:val="single" w:sz="4" w:space="0" w:color="auto"/>
            </w:tcBorders>
          </w:tcPr>
          <w:p w14:paraId="51E80B1B" w14:textId="77777777" w:rsidR="004048A0" w:rsidRPr="001B0B69" w:rsidRDefault="004048A0" w:rsidP="00EF4B7A">
            <w:pPr>
              <w:pStyle w:val="BodyText"/>
              <w:jc w:val="center"/>
              <w:rPr>
                <w:b/>
                <w:bCs/>
                <w:sz w:val="22"/>
                <w:szCs w:val="22"/>
                <w:lang w:val="en-US"/>
              </w:rPr>
            </w:pPr>
            <w:r w:rsidRPr="001B0B69">
              <w:rPr>
                <w:b/>
                <w:bCs/>
                <w:sz w:val="22"/>
                <w:szCs w:val="22"/>
                <w:lang w:val="en-US"/>
              </w:rPr>
              <w:t>Information</w:t>
            </w:r>
          </w:p>
        </w:tc>
        <w:tc>
          <w:tcPr>
            <w:tcW w:w="2256" w:type="dxa"/>
            <w:tcBorders>
              <w:top w:val="single" w:sz="4" w:space="0" w:color="auto"/>
              <w:bottom w:val="single" w:sz="4" w:space="0" w:color="auto"/>
            </w:tcBorders>
            <w:hideMark/>
          </w:tcPr>
          <w:p w14:paraId="4DFEE698" w14:textId="77777777" w:rsidR="004048A0" w:rsidRPr="001B0B69" w:rsidRDefault="004048A0" w:rsidP="00EF4B7A">
            <w:pPr>
              <w:pStyle w:val="BodyText"/>
              <w:jc w:val="center"/>
              <w:rPr>
                <w:b/>
                <w:sz w:val="22"/>
                <w:szCs w:val="22"/>
                <w:lang w:val="en-US"/>
              </w:rPr>
            </w:pPr>
            <w:r w:rsidRPr="001B0B69">
              <w:rPr>
                <w:b/>
                <w:sz w:val="22"/>
                <w:szCs w:val="22"/>
                <w:lang w:val="en-US"/>
              </w:rPr>
              <w:t>Sum of Squares</w:t>
            </w:r>
          </w:p>
        </w:tc>
        <w:tc>
          <w:tcPr>
            <w:tcW w:w="851" w:type="dxa"/>
            <w:tcBorders>
              <w:top w:val="single" w:sz="4" w:space="0" w:color="auto"/>
              <w:bottom w:val="single" w:sz="4" w:space="0" w:color="auto"/>
            </w:tcBorders>
            <w:hideMark/>
          </w:tcPr>
          <w:p w14:paraId="46E1429D" w14:textId="77777777" w:rsidR="004048A0" w:rsidRPr="001B0B69" w:rsidRDefault="004048A0" w:rsidP="00EF4B7A">
            <w:pPr>
              <w:pStyle w:val="BodyText"/>
              <w:jc w:val="center"/>
              <w:rPr>
                <w:b/>
                <w:sz w:val="22"/>
                <w:szCs w:val="22"/>
                <w:lang w:val="en-US"/>
              </w:rPr>
            </w:pPr>
            <w:r w:rsidRPr="001B0B69">
              <w:rPr>
                <w:b/>
                <w:sz w:val="22"/>
                <w:szCs w:val="22"/>
                <w:lang w:val="en-US"/>
              </w:rPr>
              <w:t>Df</w:t>
            </w:r>
          </w:p>
        </w:tc>
        <w:tc>
          <w:tcPr>
            <w:tcW w:w="1827" w:type="dxa"/>
            <w:tcBorders>
              <w:top w:val="single" w:sz="4" w:space="0" w:color="auto"/>
              <w:bottom w:val="single" w:sz="4" w:space="0" w:color="auto"/>
            </w:tcBorders>
            <w:hideMark/>
          </w:tcPr>
          <w:p w14:paraId="4AC5625E" w14:textId="77777777" w:rsidR="004048A0" w:rsidRPr="001B0B69" w:rsidRDefault="004048A0" w:rsidP="00EF4B7A">
            <w:pPr>
              <w:pStyle w:val="BodyText"/>
              <w:jc w:val="center"/>
              <w:rPr>
                <w:b/>
                <w:sz w:val="22"/>
                <w:szCs w:val="22"/>
                <w:lang w:val="en-US"/>
              </w:rPr>
            </w:pPr>
            <w:r w:rsidRPr="001B0B69">
              <w:rPr>
                <w:b/>
                <w:sz w:val="22"/>
                <w:szCs w:val="22"/>
                <w:lang w:val="en-US"/>
              </w:rPr>
              <w:t>Mean Square</w:t>
            </w:r>
          </w:p>
        </w:tc>
        <w:tc>
          <w:tcPr>
            <w:tcW w:w="1030" w:type="dxa"/>
            <w:tcBorders>
              <w:top w:val="single" w:sz="4" w:space="0" w:color="auto"/>
              <w:bottom w:val="single" w:sz="4" w:space="0" w:color="auto"/>
            </w:tcBorders>
            <w:hideMark/>
          </w:tcPr>
          <w:p w14:paraId="115B881E" w14:textId="77777777" w:rsidR="004048A0" w:rsidRPr="001B0B69" w:rsidRDefault="004048A0" w:rsidP="00EF4B7A">
            <w:pPr>
              <w:pStyle w:val="BodyText"/>
              <w:jc w:val="center"/>
              <w:rPr>
                <w:b/>
                <w:sz w:val="22"/>
                <w:szCs w:val="22"/>
                <w:lang w:val="en-US"/>
              </w:rPr>
            </w:pPr>
            <w:r w:rsidRPr="001B0B69">
              <w:rPr>
                <w:b/>
                <w:sz w:val="22"/>
                <w:szCs w:val="22"/>
                <w:lang w:val="en-US"/>
              </w:rPr>
              <w:t>F</w:t>
            </w:r>
          </w:p>
        </w:tc>
        <w:tc>
          <w:tcPr>
            <w:tcW w:w="1030" w:type="dxa"/>
            <w:tcBorders>
              <w:top w:val="single" w:sz="4" w:space="0" w:color="auto"/>
              <w:bottom w:val="single" w:sz="4" w:space="0" w:color="auto"/>
            </w:tcBorders>
            <w:hideMark/>
          </w:tcPr>
          <w:p w14:paraId="7F81A3D0" w14:textId="77777777" w:rsidR="004048A0" w:rsidRPr="001B0B69" w:rsidRDefault="004048A0" w:rsidP="00EF4B7A">
            <w:pPr>
              <w:pStyle w:val="BodyText"/>
              <w:jc w:val="center"/>
              <w:rPr>
                <w:b/>
                <w:sz w:val="22"/>
                <w:szCs w:val="22"/>
                <w:lang w:val="en-US"/>
              </w:rPr>
            </w:pPr>
            <w:r w:rsidRPr="001B0B69">
              <w:rPr>
                <w:b/>
                <w:sz w:val="22"/>
                <w:szCs w:val="22"/>
                <w:lang w:val="en-US"/>
              </w:rPr>
              <w:t>Itself.</w:t>
            </w:r>
          </w:p>
        </w:tc>
      </w:tr>
      <w:tr w:rsidR="004048A0" w:rsidRPr="001B0B69" w14:paraId="6BCBB6A2" w14:textId="77777777" w:rsidTr="001B5F36">
        <w:trPr>
          <w:trHeight w:val="54"/>
          <w:jc w:val="center"/>
        </w:trPr>
        <w:tc>
          <w:tcPr>
            <w:tcW w:w="240" w:type="dxa"/>
            <w:vMerge w:val="restart"/>
            <w:tcBorders>
              <w:top w:val="single" w:sz="4" w:space="0" w:color="auto"/>
              <w:bottom w:val="single" w:sz="4" w:space="0" w:color="auto"/>
            </w:tcBorders>
          </w:tcPr>
          <w:p w14:paraId="75D7C078" w14:textId="77777777" w:rsidR="004048A0" w:rsidRPr="001B0B69" w:rsidRDefault="004048A0" w:rsidP="00EF4B7A">
            <w:pPr>
              <w:pStyle w:val="BodyText"/>
              <w:jc w:val="both"/>
              <w:rPr>
                <w:sz w:val="22"/>
                <w:szCs w:val="22"/>
                <w:lang w:val="en-US"/>
              </w:rPr>
            </w:pPr>
          </w:p>
        </w:tc>
        <w:tc>
          <w:tcPr>
            <w:tcW w:w="1489" w:type="dxa"/>
            <w:tcBorders>
              <w:top w:val="single" w:sz="4" w:space="0" w:color="auto"/>
              <w:bottom w:val="single" w:sz="4" w:space="0" w:color="auto"/>
            </w:tcBorders>
            <w:hideMark/>
          </w:tcPr>
          <w:p w14:paraId="70FFB905" w14:textId="77777777" w:rsidR="004048A0" w:rsidRPr="001B0B69" w:rsidRDefault="004048A0" w:rsidP="00EF4B7A">
            <w:pPr>
              <w:pStyle w:val="BodyText"/>
              <w:jc w:val="center"/>
              <w:rPr>
                <w:sz w:val="22"/>
                <w:szCs w:val="22"/>
                <w:lang w:val="en-US"/>
              </w:rPr>
            </w:pPr>
            <w:r w:rsidRPr="001B0B69">
              <w:rPr>
                <w:sz w:val="22"/>
                <w:szCs w:val="22"/>
                <w:lang w:val="en-US"/>
              </w:rPr>
              <w:t>Regression</w:t>
            </w:r>
          </w:p>
        </w:tc>
        <w:tc>
          <w:tcPr>
            <w:tcW w:w="2256" w:type="dxa"/>
            <w:tcBorders>
              <w:top w:val="single" w:sz="4" w:space="0" w:color="auto"/>
              <w:bottom w:val="single" w:sz="4" w:space="0" w:color="auto"/>
            </w:tcBorders>
            <w:hideMark/>
          </w:tcPr>
          <w:p w14:paraId="1D69F7B8" w14:textId="77777777" w:rsidR="004048A0" w:rsidRPr="001B0B69" w:rsidRDefault="004048A0" w:rsidP="00EF4B7A">
            <w:pPr>
              <w:pStyle w:val="BodyText"/>
              <w:jc w:val="center"/>
              <w:rPr>
                <w:sz w:val="22"/>
                <w:szCs w:val="22"/>
                <w:lang w:val="en-US"/>
              </w:rPr>
            </w:pPr>
            <w:r w:rsidRPr="001B0B69">
              <w:rPr>
                <w:sz w:val="22"/>
                <w:szCs w:val="22"/>
                <w:lang w:val="en-US"/>
              </w:rPr>
              <w:t>1817758,490</w:t>
            </w:r>
          </w:p>
        </w:tc>
        <w:tc>
          <w:tcPr>
            <w:tcW w:w="851" w:type="dxa"/>
            <w:tcBorders>
              <w:top w:val="single" w:sz="4" w:space="0" w:color="auto"/>
              <w:bottom w:val="single" w:sz="4" w:space="0" w:color="auto"/>
            </w:tcBorders>
            <w:hideMark/>
          </w:tcPr>
          <w:p w14:paraId="05510DE9" w14:textId="77777777" w:rsidR="004048A0" w:rsidRPr="001B0B69" w:rsidRDefault="004048A0" w:rsidP="00EF4B7A">
            <w:pPr>
              <w:pStyle w:val="BodyText"/>
              <w:jc w:val="center"/>
              <w:rPr>
                <w:sz w:val="22"/>
                <w:szCs w:val="22"/>
                <w:lang w:val="en-US"/>
              </w:rPr>
            </w:pPr>
            <w:r w:rsidRPr="001B0B69">
              <w:rPr>
                <w:sz w:val="22"/>
                <w:szCs w:val="22"/>
                <w:lang w:val="en-US"/>
              </w:rPr>
              <w:t>3</w:t>
            </w:r>
          </w:p>
        </w:tc>
        <w:tc>
          <w:tcPr>
            <w:tcW w:w="1827" w:type="dxa"/>
            <w:tcBorders>
              <w:top w:val="single" w:sz="4" w:space="0" w:color="auto"/>
              <w:bottom w:val="single" w:sz="4" w:space="0" w:color="auto"/>
            </w:tcBorders>
            <w:hideMark/>
          </w:tcPr>
          <w:p w14:paraId="118F62BD" w14:textId="77777777" w:rsidR="004048A0" w:rsidRPr="001B0B69" w:rsidRDefault="004048A0" w:rsidP="00EF4B7A">
            <w:pPr>
              <w:pStyle w:val="BodyText"/>
              <w:jc w:val="center"/>
              <w:rPr>
                <w:sz w:val="22"/>
                <w:szCs w:val="22"/>
                <w:lang w:val="en-US"/>
              </w:rPr>
            </w:pPr>
            <w:r w:rsidRPr="001B0B69">
              <w:rPr>
                <w:sz w:val="22"/>
                <w:szCs w:val="22"/>
                <w:lang w:val="en-US"/>
              </w:rPr>
              <w:t>605919,497</w:t>
            </w:r>
          </w:p>
        </w:tc>
        <w:tc>
          <w:tcPr>
            <w:tcW w:w="1030" w:type="dxa"/>
            <w:tcBorders>
              <w:top w:val="single" w:sz="4" w:space="0" w:color="auto"/>
              <w:bottom w:val="single" w:sz="4" w:space="0" w:color="auto"/>
            </w:tcBorders>
            <w:hideMark/>
          </w:tcPr>
          <w:p w14:paraId="44CB9DE3" w14:textId="77777777" w:rsidR="004048A0" w:rsidRPr="001B0B69" w:rsidRDefault="004048A0" w:rsidP="00EF4B7A">
            <w:pPr>
              <w:pStyle w:val="BodyText"/>
              <w:jc w:val="center"/>
              <w:rPr>
                <w:sz w:val="22"/>
                <w:szCs w:val="22"/>
                <w:lang w:val="en-US"/>
              </w:rPr>
            </w:pPr>
            <w:r w:rsidRPr="001B0B69">
              <w:rPr>
                <w:sz w:val="22"/>
                <w:szCs w:val="22"/>
                <w:lang w:val="en-US"/>
              </w:rPr>
              <w:t>17,333</w:t>
            </w:r>
          </w:p>
        </w:tc>
        <w:tc>
          <w:tcPr>
            <w:tcW w:w="1030" w:type="dxa"/>
            <w:tcBorders>
              <w:top w:val="single" w:sz="4" w:space="0" w:color="auto"/>
              <w:bottom w:val="single" w:sz="4" w:space="0" w:color="auto"/>
            </w:tcBorders>
            <w:hideMark/>
          </w:tcPr>
          <w:p w14:paraId="5274F444" w14:textId="77777777" w:rsidR="004048A0" w:rsidRPr="001B0B69" w:rsidRDefault="004048A0" w:rsidP="00EF4B7A">
            <w:pPr>
              <w:pStyle w:val="BodyText"/>
              <w:jc w:val="center"/>
              <w:rPr>
                <w:sz w:val="22"/>
                <w:szCs w:val="22"/>
                <w:lang w:val="en-US"/>
              </w:rPr>
            </w:pPr>
            <w:r w:rsidRPr="001B0B69">
              <w:rPr>
                <w:sz w:val="22"/>
                <w:szCs w:val="22"/>
                <w:lang w:val="en-US"/>
              </w:rPr>
              <w:t>,000b</w:t>
            </w:r>
          </w:p>
        </w:tc>
      </w:tr>
      <w:tr w:rsidR="004048A0" w:rsidRPr="001B0B69" w14:paraId="4B36FBC6" w14:textId="77777777" w:rsidTr="001B5F36">
        <w:trPr>
          <w:trHeight w:val="54"/>
          <w:jc w:val="center"/>
        </w:trPr>
        <w:tc>
          <w:tcPr>
            <w:tcW w:w="240" w:type="dxa"/>
            <w:vMerge/>
            <w:tcBorders>
              <w:top w:val="single" w:sz="4" w:space="0" w:color="auto"/>
              <w:bottom w:val="single" w:sz="4" w:space="0" w:color="auto"/>
            </w:tcBorders>
            <w:vAlign w:val="center"/>
            <w:hideMark/>
          </w:tcPr>
          <w:p w14:paraId="012A4E34" w14:textId="77777777" w:rsidR="004048A0" w:rsidRPr="001B0B69" w:rsidRDefault="004048A0" w:rsidP="00EF4B7A">
            <w:pPr>
              <w:pStyle w:val="BodyText"/>
              <w:jc w:val="both"/>
              <w:rPr>
                <w:sz w:val="22"/>
                <w:szCs w:val="22"/>
                <w:lang w:val="en-US"/>
              </w:rPr>
            </w:pPr>
          </w:p>
        </w:tc>
        <w:tc>
          <w:tcPr>
            <w:tcW w:w="1489" w:type="dxa"/>
            <w:tcBorders>
              <w:top w:val="single" w:sz="4" w:space="0" w:color="auto"/>
              <w:bottom w:val="single" w:sz="4" w:space="0" w:color="auto"/>
            </w:tcBorders>
            <w:hideMark/>
          </w:tcPr>
          <w:p w14:paraId="4F06E35A" w14:textId="77777777" w:rsidR="004048A0" w:rsidRPr="001B0B69" w:rsidRDefault="004048A0" w:rsidP="00EF4B7A">
            <w:pPr>
              <w:pStyle w:val="BodyText"/>
              <w:jc w:val="center"/>
              <w:rPr>
                <w:sz w:val="22"/>
                <w:szCs w:val="22"/>
                <w:lang w:val="en-US"/>
              </w:rPr>
            </w:pPr>
            <w:r w:rsidRPr="001B0B69">
              <w:rPr>
                <w:sz w:val="22"/>
                <w:szCs w:val="22"/>
                <w:lang w:val="en-US"/>
              </w:rPr>
              <w:t>Residual</w:t>
            </w:r>
          </w:p>
        </w:tc>
        <w:tc>
          <w:tcPr>
            <w:tcW w:w="2256" w:type="dxa"/>
            <w:tcBorders>
              <w:top w:val="single" w:sz="4" w:space="0" w:color="auto"/>
              <w:bottom w:val="single" w:sz="4" w:space="0" w:color="auto"/>
            </w:tcBorders>
            <w:hideMark/>
          </w:tcPr>
          <w:p w14:paraId="564CD1F5" w14:textId="77777777" w:rsidR="004048A0" w:rsidRPr="001B0B69" w:rsidRDefault="004048A0" w:rsidP="00EF4B7A">
            <w:pPr>
              <w:pStyle w:val="BodyText"/>
              <w:jc w:val="center"/>
              <w:rPr>
                <w:sz w:val="22"/>
                <w:szCs w:val="22"/>
                <w:lang w:val="en-US"/>
              </w:rPr>
            </w:pPr>
            <w:r w:rsidRPr="001B0B69">
              <w:rPr>
                <w:sz w:val="22"/>
                <w:szCs w:val="22"/>
                <w:lang w:val="en-US"/>
              </w:rPr>
              <w:t>1013763,025</w:t>
            </w:r>
          </w:p>
        </w:tc>
        <w:tc>
          <w:tcPr>
            <w:tcW w:w="851" w:type="dxa"/>
            <w:tcBorders>
              <w:top w:val="single" w:sz="4" w:space="0" w:color="auto"/>
              <w:bottom w:val="single" w:sz="4" w:space="0" w:color="auto"/>
            </w:tcBorders>
            <w:hideMark/>
          </w:tcPr>
          <w:p w14:paraId="5C1F7646" w14:textId="77777777" w:rsidR="004048A0" w:rsidRPr="001B0B69" w:rsidRDefault="004048A0" w:rsidP="00EF4B7A">
            <w:pPr>
              <w:pStyle w:val="BodyText"/>
              <w:jc w:val="center"/>
              <w:rPr>
                <w:sz w:val="22"/>
                <w:szCs w:val="22"/>
                <w:lang w:val="en-US"/>
              </w:rPr>
            </w:pPr>
            <w:r w:rsidRPr="001B0B69">
              <w:rPr>
                <w:sz w:val="22"/>
                <w:szCs w:val="22"/>
                <w:lang w:val="en-US"/>
              </w:rPr>
              <w:t>29</w:t>
            </w:r>
          </w:p>
        </w:tc>
        <w:tc>
          <w:tcPr>
            <w:tcW w:w="1827" w:type="dxa"/>
            <w:tcBorders>
              <w:top w:val="single" w:sz="4" w:space="0" w:color="auto"/>
              <w:bottom w:val="single" w:sz="4" w:space="0" w:color="auto"/>
            </w:tcBorders>
            <w:hideMark/>
          </w:tcPr>
          <w:p w14:paraId="3E094634" w14:textId="77777777" w:rsidR="004048A0" w:rsidRPr="001B0B69" w:rsidRDefault="004048A0" w:rsidP="00EF4B7A">
            <w:pPr>
              <w:pStyle w:val="BodyText"/>
              <w:jc w:val="center"/>
              <w:rPr>
                <w:sz w:val="22"/>
                <w:szCs w:val="22"/>
                <w:lang w:val="en-US"/>
              </w:rPr>
            </w:pPr>
            <w:r w:rsidRPr="001B0B69">
              <w:rPr>
                <w:sz w:val="22"/>
                <w:szCs w:val="22"/>
                <w:lang w:val="en-US"/>
              </w:rPr>
              <w:t>34957,346</w:t>
            </w:r>
          </w:p>
        </w:tc>
        <w:tc>
          <w:tcPr>
            <w:tcW w:w="1030" w:type="dxa"/>
            <w:tcBorders>
              <w:top w:val="single" w:sz="4" w:space="0" w:color="auto"/>
              <w:bottom w:val="single" w:sz="4" w:space="0" w:color="auto"/>
            </w:tcBorders>
          </w:tcPr>
          <w:p w14:paraId="04D70C84" w14:textId="77777777" w:rsidR="004048A0" w:rsidRPr="001B0B69" w:rsidRDefault="004048A0" w:rsidP="00EF4B7A">
            <w:pPr>
              <w:pStyle w:val="BodyText"/>
              <w:jc w:val="center"/>
              <w:rPr>
                <w:sz w:val="22"/>
                <w:szCs w:val="22"/>
                <w:lang w:val="en-US"/>
              </w:rPr>
            </w:pPr>
          </w:p>
        </w:tc>
        <w:tc>
          <w:tcPr>
            <w:tcW w:w="1030" w:type="dxa"/>
            <w:tcBorders>
              <w:top w:val="single" w:sz="4" w:space="0" w:color="auto"/>
              <w:bottom w:val="single" w:sz="4" w:space="0" w:color="auto"/>
            </w:tcBorders>
          </w:tcPr>
          <w:p w14:paraId="4907CC57" w14:textId="77777777" w:rsidR="004048A0" w:rsidRPr="001B0B69" w:rsidRDefault="004048A0" w:rsidP="00EF4B7A">
            <w:pPr>
              <w:pStyle w:val="BodyText"/>
              <w:jc w:val="center"/>
              <w:rPr>
                <w:sz w:val="22"/>
                <w:szCs w:val="22"/>
                <w:lang w:val="en-US"/>
              </w:rPr>
            </w:pPr>
          </w:p>
        </w:tc>
      </w:tr>
      <w:tr w:rsidR="004048A0" w:rsidRPr="001B0B69" w14:paraId="16039F07" w14:textId="77777777" w:rsidTr="001B5F36">
        <w:trPr>
          <w:trHeight w:val="54"/>
          <w:jc w:val="center"/>
        </w:trPr>
        <w:tc>
          <w:tcPr>
            <w:tcW w:w="240" w:type="dxa"/>
            <w:vMerge/>
            <w:tcBorders>
              <w:top w:val="single" w:sz="4" w:space="0" w:color="auto"/>
              <w:bottom w:val="single" w:sz="4" w:space="0" w:color="auto"/>
            </w:tcBorders>
            <w:vAlign w:val="center"/>
            <w:hideMark/>
          </w:tcPr>
          <w:p w14:paraId="1765B06D" w14:textId="77777777" w:rsidR="004048A0" w:rsidRPr="001B0B69" w:rsidRDefault="004048A0" w:rsidP="00EF4B7A">
            <w:pPr>
              <w:pStyle w:val="BodyText"/>
              <w:jc w:val="both"/>
              <w:rPr>
                <w:sz w:val="22"/>
                <w:szCs w:val="22"/>
                <w:lang w:val="en-US"/>
              </w:rPr>
            </w:pPr>
          </w:p>
        </w:tc>
        <w:tc>
          <w:tcPr>
            <w:tcW w:w="1489" w:type="dxa"/>
            <w:tcBorders>
              <w:top w:val="single" w:sz="4" w:space="0" w:color="auto"/>
              <w:bottom w:val="single" w:sz="4" w:space="0" w:color="auto"/>
            </w:tcBorders>
            <w:hideMark/>
          </w:tcPr>
          <w:p w14:paraId="332E02BE" w14:textId="77777777" w:rsidR="004048A0" w:rsidRPr="001B0B69" w:rsidRDefault="004048A0" w:rsidP="00EF4B7A">
            <w:pPr>
              <w:pStyle w:val="BodyText"/>
              <w:jc w:val="center"/>
              <w:rPr>
                <w:sz w:val="22"/>
                <w:szCs w:val="22"/>
                <w:lang w:val="en-US"/>
              </w:rPr>
            </w:pPr>
            <w:r w:rsidRPr="001B0B69">
              <w:rPr>
                <w:sz w:val="22"/>
                <w:szCs w:val="22"/>
                <w:lang w:val="en-US"/>
              </w:rPr>
              <w:t>Total</w:t>
            </w:r>
          </w:p>
        </w:tc>
        <w:tc>
          <w:tcPr>
            <w:tcW w:w="2256" w:type="dxa"/>
            <w:tcBorders>
              <w:top w:val="single" w:sz="4" w:space="0" w:color="auto"/>
              <w:bottom w:val="single" w:sz="4" w:space="0" w:color="auto"/>
            </w:tcBorders>
            <w:hideMark/>
          </w:tcPr>
          <w:p w14:paraId="072BEEE5" w14:textId="77777777" w:rsidR="004048A0" w:rsidRPr="001B0B69" w:rsidRDefault="004048A0" w:rsidP="00EF4B7A">
            <w:pPr>
              <w:pStyle w:val="BodyText"/>
              <w:jc w:val="center"/>
              <w:rPr>
                <w:sz w:val="22"/>
                <w:szCs w:val="22"/>
                <w:lang w:val="en-US"/>
              </w:rPr>
            </w:pPr>
            <w:r w:rsidRPr="001B0B69">
              <w:rPr>
                <w:sz w:val="22"/>
                <w:szCs w:val="22"/>
                <w:lang w:val="en-US"/>
              </w:rPr>
              <w:t>2831521,515</w:t>
            </w:r>
          </w:p>
        </w:tc>
        <w:tc>
          <w:tcPr>
            <w:tcW w:w="851" w:type="dxa"/>
            <w:tcBorders>
              <w:top w:val="single" w:sz="4" w:space="0" w:color="auto"/>
              <w:bottom w:val="single" w:sz="4" w:space="0" w:color="auto"/>
            </w:tcBorders>
            <w:hideMark/>
          </w:tcPr>
          <w:p w14:paraId="3B787FB0" w14:textId="77777777" w:rsidR="004048A0" w:rsidRPr="001B0B69" w:rsidRDefault="004048A0" w:rsidP="00EF4B7A">
            <w:pPr>
              <w:pStyle w:val="BodyText"/>
              <w:jc w:val="center"/>
              <w:rPr>
                <w:sz w:val="22"/>
                <w:szCs w:val="22"/>
                <w:lang w:val="en-US"/>
              </w:rPr>
            </w:pPr>
            <w:r w:rsidRPr="001B0B69">
              <w:rPr>
                <w:sz w:val="22"/>
                <w:szCs w:val="22"/>
                <w:lang w:val="en-US"/>
              </w:rPr>
              <w:t>32</w:t>
            </w:r>
          </w:p>
        </w:tc>
        <w:tc>
          <w:tcPr>
            <w:tcW w:w="1827" w:type="dxa"/>
            <w:tcBorders>
              <w:top w:val="single" w:sz="4" w:space="0" w:color="auto"/>
              <w:bottom w:val="single" w:sz="4" w:space="0" w:color="auto"/>
            </w:tcBorders>
          </w:tcPr>
          <w:p w14:paraId="18C75B21" w14:textId="77777777" w:rsidR="004048A0" w:rsidRPr="001B0B69" w:rsidRDefault="004048A0" w:rsidP="00EF4B7A">
            <w:pPr>
              <w:pStyle w:val="BodyText"/>
              <w:jc w:val="center"/>
              <w:rPr>
                <w:sz w:val="22"/>
                <w:szCs w:val="22"/>
                <w:lang w:val="en-US"/>
              </w:rPr>
            </w:pPr>
          </w:p>
        </w:tc>
        <w:tc>
          <w:tcPr>
            <w:tcW w:w="1030" w:type="dxa"/>
            <w:tcBorders>
              <w:top w:val="single" w:sz="4" w:space="0" w:color="auto"/>
              <w:bottom w:val="single" w:sz="4" w:space="0" w:color="auto"/>
            </w:tcBorders>
          </w:tcPr>
          <w:p w14:paraId="32FFD2D0" w14:textId="77777777" w:rsidR="004048A0" w:rsidRPr="001B0B69" w:rsidRDefault="004048A0" w:rsidP="00EF4B7A">
            <w:pPr>
              <w:pStyle w:val="BodyText"/>
              <w:jc w:val="center"/>
              <w:rPr>
                <w:sz w:val="22"/>
                <w:szCs w:val="22"/>
                <w:lang w:val="en-US"/>
              </w:rPr>
            </w:pPr>
          </w:p>
        </w:tc>
        <w:tc>
          <w:tcPr>
            <w:tcW w:w="1030" w:type="dxa"/>
            <w:tcBorders>
              <w:top w:val="single" w:sz="4" w:space="0" w:color="auto"/>
              <w:bottom w:val="single" w:sz="4" w:space="0" w:color="auto"/>
            </w:tcBorders>
          </w:tcPr>
          <w:p w14:paraId="1B473687" w14:textId="77777777" w:rsidR="004048A0" w:rsidRPr="001B0B69" w:rsidRDefault="004048A0" w:rsidP="00EF4B7A">
            <w:pPr>
              <w:pStyle w:val="BodyText"/>
              <w:jc w:val="center"/>
              <w:rPr>
                <w:sz w:val="22"/>
                <w:szCs w:val="22"/>
                <w:lang w:val="en-US"/>
              </w:rPr>
            </w:pPr>
          </w:p>
        </w:tc>
      </w:tr>
      <w:tr w:rsidR="004048A0" w:rsidRPr="001B0B69" w14:paraId="13873D4C" w14:textId="77777777" w:rsidTr="001B5F36">
        <w:trPr>
          <w:trHeight w:val="54"/>
          <w:jc w:val="center"/>
        </w:trPr>
        <w:tc>
          <w:tcPr>
            <w:tcW w:w="8723" w:type="dxa"/>
            <w:gridSpan w:val="7"/>
            <w:tcBorders>
              <w:top w:val="single" w:sz="4" w:space="0" w:color="auto"/>
            </w:tcBorders>
            <w:hideMark/>
          </w:tcPr>
          <w:p w14:paraId="23F89C0C" w14:textId="77777777" w:rsidR="004048A0" w:rsidRPr="001B0B69" w:rsidRDefault="004048A0" w:rsidP="00EF4B7A">
            <w:pPr>
              <w:pStyle w:val="BodyText"/>
              <w:jc w:val="both"/>
              <w:rPr>
                <w:sz w:val="22"/>
                <w:szCs w:val="22"/>
                <w:lang w:val="en-US"/>
              </w:rPr>
            </w:pPr>
            <w:r w:rsidRPr="001B0B69">
              <w:rPr>
                <w:i/>
                <w:sz w:val="22"/>
                <w:szCs w:val="22"/>
                <w:lang w:val="en-US"/>
              </w:rPr>
              <w:t>Source: SPSS appendix processed by the researcher from appendix p. 130</w:t>
            </w:r>
          </w:p>
        </w:tc>
      </w:tr>
    </w:tbl>
    <w:p w14:paraId="1A648F83" w14:textId="3ACE8842" w:rsidR="004048A0" w:rsidRPr="001B0B69" w:rsidRDefault="004048A0" w:rsidP="004048A0">
      <w:pPr>
        <w:spacing w:line="276" w:lineRule="auto"/>
        <w:ind w:firstLine="709"/>
        <w:rPr>
          <w:color w:val="000000" w:themeColor="text1"/>
        </w:rPr>
      </w:pPr>
      <w:r w:rsidRPr="001B0B69">
        <w:rPr>
          <w:color w:val="000000" w:themeColor="text1"/>
        </w:rPr>
        <w:t xml:space="preserve">Based on table </w:t>
      </w:r>
      <w:r w:rsidR="006E796F" w:rsidRPr="001B0B69">
        <w:rPr>
          <w:color w:val="000000" w:themeColor="text1"/>
        </w:rPr>
        <w:t>10,</w:t>
      </w:r>
      <w:r w:rsidRPr="001B0B69">
        <w:rPr>
          <w:color w:val="000000" w:themeColor="text1"/>
        </w:rPr>
        <w:t xml:space="preserve"> it is known that the p-value = 0.000 &lt; 0.05 so that Ho is rejected, in other words, jointly or simultaneously the variables of budget participation, motivation, and competence have a significant effect on the variables of managerial performance.</w:t>
      </w:r>
    </w:p>
    <w:p w14:paraId="2F23A6E9" w14:textId="77777777" w:rsidR="006E796F" w:rsidRPr="001B0B69" w:rsidRDefault="006E796F" w:rsidP="00EF4B7A">
      <w:pPr>
        <w:spacing w:line="276" w:lineRule="auto"/>
        <w:rPr>
          <w:b/>
          <w:bCs/>
          <w:color w:val="000000" w:themeColor="text1"/>
        </w:rPr>
      </w:pPr>
    </w:p>
    <w:p w14:paraId="1EE24C1D" w14:textId="70A61940" w:rsidR="004048A0" w:rsidRPr="001B0B69" w:rsidRDefault="004048A0" w:rsidP="001B5F36">
      <w:pPr>
        <w:spacing w:line="276" w:lineRule="auto"/>
        <w:rPr>
          <w:b/>
          <w:bCs/>
          <w:i/>
          <w:iCs/>
          <w:color w:val="000000" w:themeColor="text1"/>
        </w:rPr>
      </w:pPr>
      <w:r w:rsidRPr="001B0B69">
        <w:rPr>
          <w:b/>
          <w:bCs/>
          <w:i/>
          <w:iCs/>
          <w:color w:val="000000" w:themeColor="text1"/>
        </w:rPr>
        <w:t>Partial Test (t-test)</w:t>
      </w:r>
    </w:p>
    <w:p w14:paraId="6A8EBEDD" w14:textId="77777777" w:rsidR="004048A0" w:rsidRPr="001B0B69" w:rsidRDefault="004048A0" w:rsidP="004048A0">
      <w:pPr>
        <w:spacing w:line="276" w:lineRule="auto"/>
        <w:ind w:firstLine="709"/>
        <w:rPr>
          <w:color w:val="000000" w:themeColor="text1"/>
        </w:rPr>
      </w:pPr>
      <w:r w:rsidRPr="001B0B69">
        <w:rPr>
          <w:color w:val="000000" w:themeColor="text1"/>
        </w:rPr>
        <w:t>The t-test aims to test the partial influence between the independent variable on the non-free variable and the other variable is considered constant, assuming that if the significant value of f calculated that can be seen from the regression analysis shows that it is small than α = 0.05, it means that the independent variable has an effect on the dependent variable with the following criteria:</w:t>
      </w:r>
    </w:p>
    <w:p w14:paraId="013D0552" w14:textId="33B724CA" w:rsidR="004048A0" w:rsidRPr="001B0B69" w:rsidRDefault="004048A0" w:rsidP="00EF4B7A">
      <w:pPr>
        <w:pStyle w:val="ListParagraph"/>
        <w:numPr>
          <w:ilvl w:val="0"/>
          <w:numId w:val="33"/>
        </w:numPr>
        <w:spacing w:line="276" w:lineRule="auto"/>
        <w:rPr>
          <w:color w:val="000000" w:themeColor="text1"/>
        </w:rPr>
      </w:pPr>
      <w:r w:rsidRPr="001B0B69">
        <w:rPr>
          <w:color w:val="000000" w:themeColor="text1"/>
        </w:rPr>
        <w:t>If the level of significance (Sig &lt; 0.05), then Ha is accepted and H0 is rejected, independent variables affect the dependent variables.</w:t>
      </w:r>
    </w:p>
    <w:p w14:paraId="1D01D6E2" w14:textId="3DA2BF55" w:rsidR="004048A0" w:rsidRPr="001B0B69" w:rsidRDefault="004048A0" w:rsidP="00EF4B7A">
      <w:pPr>
        <w:pStyle w:val="ListParagraph"/>
        <w:numPr>
          <w:ilvl w:val="0"/>
          <w:numId w:val="33"/>
        </w:numPr>
        <w:spacing w:line="276" w:lineRule="auto"/>
        <w:rPr>
          <w:color w:val="000000" w:themeColor="text1"/>
        </w:rPr>
      </w:pPr>
      <w:r w:rsidRPr="001B0B69">
        <w:rPr>
          <w:color w:val="000000" w:themeColor="text1"/>
        </w:rPr>
        <w:t>If the level of significance (Sig &gt; 0.05), then Ha is rejected and H0 is accepted, the independent variable has no effect on the dependent variable.</w:t>
      </w:r>
    </w:p>
    <w:p w14:paraId="6A9D6980" w14:textId="77777777" w:rsidR="004048A0" w:rsidRPr="001B0B69" w:rsidRDefault="004048A0" w:rsidP="004048A0">
      <w:pPr>
        <w:spacing w:line="276" w:lineRule="auto"/>
        <w:ind w:firstLine="709"/>
        <w:rPr>
          <w:color w:val="000000" w:themeColor="text1"/>
        </w:rPr>
      </w:pPr>
      <w:r w:rsidRPr="001B0B69">
        <w:rPr>
          <w:color w:val="000000" w:themeColor="text1"/>
        </w:rPr>
        <w:t>The results of the Partial Test (t-test) test are as follows:</w:t>
      </w:r>
    </w:p>
    <w:p w14:paraId="3824D44D" w14:textId="77777777" w:rsidR="006E796F" w:rsidRPr="001B0B69" w:rsidRDefault="006E796F" w:rsidP="006E796F">
      <w:pPr>
        <w:spacing w:line="240" w:lineRule="auto"/>
        <w:rPr>
          <w:color w:val="000000" w:themeColor="text1"/>
          <w:sz w:val="22"/>
        </w:rPr>
      </w:pPr>
    </w:p>
    <w:p w14:paraId="6552EADE" w14:textId="1D219E7B" w:rsidR="004048A0" w:rsidRPr="001B0B69" w:rsidRDefault="004048A0" w:rsidP="006E796F">
      <w:pPr>
        <w:spacing w:line="240" w:lineRule="auto"/>
        <w:jc w:val="center"/>
        <w:rPr>
          <w:color w:val="000000" w:themeColor="text1"/>
          <w:sz w:val="22"/>
        </w:rPr>
      </w:pPr>
      <w:r w:rsidRPr="001B0B69">
        <w:rPr>
          <w:color w:val="000000" w:themeColor="text1"/>
          <w:sz w:val="22"/>
        </w:rPr>
        <w:t xml:space="preserve">Table </w:t>
      </w:r>
      <w:r w:rsidR="006E796F" w:rsidRPr="001B0B69">
        <w:rPr>
          <w:color w:val="000000" w:themeColor="text1"/>
          <w:sz w:val="22"/>
        </w:rPr>
        <w:t>11.</w:t>
      </w:r>
      <w:r w:rsidRPr="001B0B69">
        <w:rPr>
          <w:color w:val="000000" w:themeColor="text1"/>
          <w:sz w:val="22"/>
        </w:rPr>
        <w:t xml:space="preserve"> Partial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1985"/>
        <w:gridCol w:w="2972"/>
      </w:tblGrid>
      <w:tr w:rsidR="004048A0" w:rsidRPr="001B0B69" w14:paraId="0322D395" w14:textId="77777777" w:rsidTr="001B5F36">
        <w:trPr>
          <w:trHeight w:val="276"/>
          <w:jc w:val="center"/>
        </w:trPr>
        <w:tc>
          <w:tcPr>
            <w:tcW w:w="1984" w:type="dxa"/>
            <w:tcBorders>
              <w:top w:val="single" w:sz="4" w:space="0" w:color="auto"/>
              <w:left w:val="nil"/>
              <w:bottom w:val="single" w:sz="4" w:space="0" w:color="auto"/>
              <w:right w:val="nil"/>
            </w:tcBorders>
            <w:vAlign w:val="center"/>
            <w:hideMark/>
          </w:tcPr>
          <w:p w14:paraId="1F469252" w14:textId="77777777" w:rsidR="004048A0" w:rsidRPr="001B0B69" w:rsidRDefault="004048A0" w:rsidP="00EF4B7A">
            <w:pPr>
              <w:pStyle w:val="BodyText"/>
              <w:jc w:val="center"/>
              <w:rPr>
                <w:b/>
                <w:sz w:val="22"/>
                <w:szCs w:val="22"/>
                <w:lang w:val="en-US"/>
              </w:rPr>
            </w:pPr>
            <w:r w:rsidRPr="001B0B69">
              <w:rPr>
                <w:b/>
                <w:sz w:val="22"/>
                <w:szCs w:val="22"/>
                <w:lang w:val="en-US"/>
              </w:rPr>
              <w:t>Variabel</w:t>
            </w:r>
          </w:p>
        </w:tc>
        <w:tc>
          <w:tcPr>
            <w:tcW w:w="1985" w:type="dxa"/>
            <w:tcBorders>
              <w:top w:val="single" w:sz="4" w:space="0" w:color="auto"/>
              <w:left w:val="nil"/>
              <w:bottom w:val="single" w:sz="4" w:space="0" w:color="auto"/>
              <w:right w:val="nil"/>
            </w:tcBorders>
            <w:vAlign w:val="center"/>
            <w:hideMark/>
          </w:tcPr>
          <w:p w14:paraId="71680C95" w14:textId="77777777" w:rsidR="004048A0" w:rsidRPr="001B0B69" w:rsidRDefault="004048A0" w:rsidP="00EF4B7A">
            <w:pPr>
              <w:pStyle w:val="BodyText"/>
              <w:jc w:val="center"/>
              <w:rPr>
                <w:b/>
                <w:sz w:val="22"/>
                <w:szCs w:val="22"/>
                <w:lang w:val="en-US"/>
              </w:rPr>
            </w:pPr>
            <w:r w:rsidRPr="001B0B69">
              <w:rPr>
                <w:b/>
                <w:sz w:val="22"/>
                <w:szCs w:val="22"/>
                <w:lang w:val="en-US"/>
              </w:rPr>
              <w:t>t</w:t>
            </w:r>
          </w:p>
        </w:tc>
        <w:tc>
          <w:tcPr>
            <w:tcW w:w="2972" w:type="dxa"/>
            <w:tcBorders>
              <w:top w:val="single" w:sz="4" w:space="0" w:color="auto"/>
              <w:left w:val="nil"/>
              <w:bottom w:val="single" w:sz="4" w:space="0" w:color="auto"/>
              <w:right w:val="nil"/>
            </w:tcBorders>
            <w:vAlign w:val="center"/>
            <w:hideMark/>
          </w:tcPr>
          <w:p w14:paraId="3FB7A431" w14:textId="77777777" w:rsidR="004048A0" w:rsidRPr="001B0B69" w:rsidRDefault="004048A0" w:rsidP="00EF4B7A">
            <w:pPr>
              <w:pStyle w:val="BodyText"/>
              <w:jc w:val="center"/>
              <w:rPr>
                <w:b/>
                <w:i/>
                <w:sz w:val="22"/>
                <w:szCs w:val="22"/>
                <w:lang w:val="en-US"/>
              </w:rPr>
            </w:pPr>
            <w:r w:rsidRPr="001B0B69">
              <w:rPr>
                <w:b/>
                <w:i/>
                <w:sz w:val="22"/>
                <w:szCs w:val="22"/>
                <w:lang w:val="en-US"/>
              </w:rPr>
              <w:t>p-value</w:t>
            </w:r>
          </w:p>
        </w:tc>
      </w:tr>
      <w:tr w:rsidR="004048A0" w:rsidRPr="001B0B69" w14:paraId="680B9884" w14:textId="77777777" w:rsidTr="001B5F36">
        <w:trPr>
          <w:trHeight w:val="275"/>
          <w:jc w:val="center"/>
        </w:trPr>
        <w:tc>
          <w:tcPr>
            <w:tcW w:w="1984" w:type="dxa"/>
            <w:tcBorders>
              <w:top w:val="single" w:sz="4" w:space="0" w:color="auto"/>
              <w:left w:val="nil"/>
              <w:bottom w:val="single" w:sz="4" w:space="0" w:color="auto"/>
              <w:right w:val="nil"/>
            </w:tcBorders>
            <w:hideMark/>
          </w:tcPr>
          <w:p w14:paraId="6A1B9E31" w14:textId="77777777" w:rsidR="004048A0" w:rsidRPr="001B0B69" w:rsidRDefault="004048A0" w:rsidP="00EF4B7A">
            <w:pPr>
              <w:pStyle w:val="BodyText"/>
              <w:jc w:val="center"/>
              <w:rPr>
                <w:b/>
                <w:sz w:val="22"/>
                <w:szCs w:val="22"/>
                <w:lang w:val="en-US"/>
              </w:rPr>
            </w:pPr>
            <w:r w:rsidRPr="001B0B69">
              <w:rPr>
                <w:b/>
                <w:sz w:val="22"/>
                <w:szCs w:val="22"/>
                <w:lang w:val="en-US"/>
              </w:rPr>
              <w:t>X1</w:t>
            </w:r>
          </w:p>
        </w:tc>
        <w:tc>
          <w:tcPr>
            <w:tcW w:w="1985" w:type="dxa"/>
            <w:tcBorders>
              <w:top w:val="single" w:sz="4" w:space="0" w:color="auto"/>
              <w:left w:val="nil"/>
              <w:bottom w:val="single" w:sz="4" w:space="0" w:color="auto"/>
              <w:right w:val="nil"/>
            </w:tcBorders>
            <w:hideMark/>
          </w:tcPr>
          <w:p w14:paraId="4090BE4E" w14:textId="77777777" w:rsidR="004048A0" w:rsidRPr="001B0B69" w:rsidRDefault="004048A0" w:rsidP="00EF4B7A">
            <w:pPr>
              <w:pStyle w:val="BodyText"/>
              <w:jc w:val="center"/>
              <w:rPr>
                <w:sz w:val="22"/>
                <w:szCs w:val="22"/>
                <w:lang w:val="en-US"/>
              </w:rPr>
            </w:pPr>
            <w:r w:rsidRPr="001B0B69">
              <w:rPr>
                <w:sz w:val="22"/>
                <w:szCs w:val="22"/>
                <w:lang w:val="en-US"/>
              </w:rPr>
              <w:t>2,361</w:t>
            </w:r>
          </w:p>
        </w:tc>
        <w:tc>
          <w:tcPr>
            <w:tcW w:w="2972" w:type="dxa"/>
            <w:tcBorders>
              <w:top w:val="single" w:sz="4" w:space="0" w:color="auto"/>
              <w:left w:val="nil"/>
              <w:bottom w:val="single" w:sz="4" w:space="0" w:color="auto"/>
              <w:right w:val="nil"/>
            </w:tcBorders>
            <w:hideMark/>
          </w:tcPr>
          <w:p w14:paraId="0BE19486" w14:textId="77777777" w:rsidR="004048A0" w:rsidRPr="001B0B69" w:rsidRDefault="004048A0" w:rsidP="00EF4B7A">
            <w:pPr>
              <w:pStyle w:val="BodyText"/>
              <w:jc w:val="center"/>
              <w:rPr>
                <w:sz w:val="22"/>
                <w:szCs w:val="22"/>
                <w:lang w:val="en-US"/>
              </w:rPr>
            </w:pPr>
            <w:r w:rsidRPr="001B0B69">
              <w:rPr>
                <w:sz w:val="22"/>
                <w:szCs w:val="22"/>
                <w:lang w:val="en-US"/>
              </w:rPr>
              <w:t>0,025</w:t>
            </w:r>
          </w:p>
        </w:tc>
      </w:tr>
      <w:tr w:rsidR="004048A0" w:rsidRPr="001B0B69" w14:paraId="55D0A350" w14:textId="77777777" w:rsidTr="001B5F36">
        <w:trPr>
          <w:trHeight w:val="275"/>
          <w:jc w:val="center"/>
        </w:trPr>
        <w:tc>
          <w:tcPr>
            <w:tcW w:w="1984" w:type="dxa"/>
            <w:tcBorders>
              <w:top w:val="single" w:sz="4" w:space="0" w:color="auto"/>
              <w:left w:val="nil"/>
              <w:bottom w:val="single" w:sz="4" w:space="0" w:color="auto"/>
              <w:right w:val="nil"/>
            </w:tcBorders>
            <w:hideMark/>
          </w:tcPr>
          <w:p w14:paraId="1FE6F6DE" w14:textId="77777777" w:rsidR="004048A0" w:rsidRPr="001B0B69" w:rsidRDefault="004048A0" w:rsidP="00EF4B7A">
            <w:pPr>
              <w:pStyle w:val="BodyText"/>
              <w:jc w:val="center"/>
              <w:rPr>
                <w:b/>
                <w:sz w:val="22"/>
                <w:szCs w:val="22"/>
                <w:lang w:val="en-US"/>
              </w:rPr>
            </w:pPr>
            <w:r w:rsidRPr="001B0B69">
              <w:rPr>
                <w:b/>
                <w:sz w:val="22"/>
                <w:szCs w:val="22"/>
                <w:lang w:val="en-US"/>
              </w:rPr>
              <w:t>X2</w:t>
            </w:r>
          </w:p>
        </w:tc>
        <w:tc>
          <w:tcPr>
            <w:tcW w:w="1985" w:type="dxa"/>
            <w:tcBorders>
              <w:top w:val="single" w:sz="4" w:space="0" w:color="auto"/>
              <w:left w:val="nil"/>
              <w:bottom w:val="single" w:sz="4" w:space="0" w:color="auto"/>
              <w:right w:val="nil"/>
            </w:tcBorders>
            <w:hideMark/>
          </w:tcPr>
          <w:p w14:paraId="7A99603C" w14:textId="77777777" w:rsidR="004048A0" w:rsidRPr="001B0B69" w:rsidRDefault="004048A0" w:rsidP="00EF4B7A">
            <w:pPr>
              <w:pStyle w:val="BodyText"/>
              <w:jc w:val="center"/>
              <w:rPr>
                <w:sz w:val="22"/>
                <w:szCs w:val="22"/>
                <w:lang w:val="en-US"/>
              </w:rPr>
            </w:pPr>
            <w:r w:rsidRPr="001B0B69">
              <w:rPr>
                <w:sz w:val="22"/>
                <w:szCs w:val="22"/>
                <w:lang w:val="en-US"/>
              </w:rPr>
              <w:t>1,805</w:t>
            </w:r>
          </w:p>
        </w:tc>
        <w:tc>
          <w:tcPr>
            <w:tcW w:w="2972" w:type="dxa"/>
            <w:tcBorders>
              <w:top w:val="single" w:sz="4" w:space="0" w:color="auto"/>
              <w:left w:val="nil"/>
              <w:bottom w:val="single" w:sz="4" w:space="0" w:color="auto"/>
              <w:right w:val="nil"/>
            </w:tcBorders>
            <w:hideMark/>
          </w:tcPr>
          <w:p w14:paraId="690DE9D6" w14:textId="77777777" w:rsidR="004048A0" w:rsidRPr="001B0B69" w:rsidRDefault="004048A0" w:rsidP="00EF4B7A">
            <w:pPr>
              <w:pStyle w:val="BodyText"/>
              <w:jc w:val="center"/>
              <w:rPr>
                <w:sz w:val="22"/>
                <w:szCs w:val="22"/>
                <w:lang w:val="en-US"/>
              </w:rPr>
            </w:pPr>
            <w:r w:rsidRPr="001B0B69">
              <w:rPr>
                <w:sz w:val="22"/>
                <w:szCs w:val="22"/>
                <w:lang w:val="en-US"/>
              </w:rPr>
              <w:t>0,081</w:t>
            </w:r>
          </w:p>
        </w:tc>
      </w:tr>
      <w:tr w:rsidR="004048A0" w:rsidRPr="001B0B69" w14:paraId="67F89D97" w14:textId="77777777" w:rsidTr="001B5F36">
        <w:trPr>
          <w:trHeight w:val="276"/>
          <w:jc w:val="center"/>
        </w:trPr>
        <w:tc>
          <w:tcPr>
            <w:tcW w:w="1984" w:type="dxa"/>
            <w:tcBorders>
              <w:top w:val="single" w:sz="4" w:space="0" w:color="auto"/>
              <w:left w:val="nil"/>
              <w:bottom w:val="single" w:sz="4" w:space="0" w:color="auto"/>
              <w:right w:val="nil"/>
            </w:tcBorders>
            <w:hideMark/>
          </w:tcPr>
          <w:p w14:paraId="40161578" w14:textId="77777777" w:rsidR="004048A0" w:rsidRPr="001B0B69" w:rsidRDefault="004048A0" w:rsidP="00EF4B7A">
            <w:pPr>
              <w:pStyle w:val="BodyText"/>
              <w:jc w:val="center"/>
              <w:rPr>
                <w:b/>
                <w:sz w:val="22"/>
                <w:szCs w:val="22"/>
                <w:lang w:val="en-US"/>
              </w:rPr>
            </w:pPr>
            <w:r w:rsidRPr="001B0B69">
              <w:rPr>
                <w:b/>
                <w:sz w:val="22"/>
                <w:szCs w:val="22"/>
                <w:lang w:val="en-US"/>
              </w:rPr>
              <w:t>X3</w:t>
            </w:r>
          </w:p>
        </w:tc>
        <w:tc>
          <w:tcPr>
            <w:tcW w:w="1985" w:type="dxa"/>
            <w:tcBorders>
              <w:top w:val="single" w:sz="4" w:space="0" w:color="auto"/>
              <w:left w:val="nil"/>
              <w:bottom w:val="single" w:sz="4" w:space="0" w:color="auto"/>
              <w:right w:val="nil"/>
            </w:tcBorders>
            <w:hideMark/>
          </w:tcPr>
          <w:p w14:paraId="2A427B88" w14:textId="77777777" w:rsidR="004048A0" w:rsidRPr="001B0B69" w:rsidRDefault="004048A0" w:rsidP="00EF4B7A">
            <w:pPr>
              <w:pStyle w:val="BodyText"/>
              <w:jc w:val="center"/>
              <w:rPr>
                <w:sz w:val="22"/>
                <w:szCs w:val="22"/>
                <w:lang w:val="en-US"/>
              </w:rPr>
            </w:pPr>
            <w:r w:rsidRPr="001B0B69">
              <w:rPr>
                <w:sz w:val="22"/>
                <w:szCs w:val="22"/>
                <w:lang w:val="en-US"/>
              </w:rPr>
              <w:t>0,610</w:t>
            </w:r>
          </w:p>
        </w:tc>
        <w:tc>
          <w:tcPr>
            <w:tcW w:w="2972" w:type="dxa"/>
            <w:tcBorders>
              <w:top w:val="single" w:sz="4" w:space="0" w:color="auto"/>
              <w:left w:val="nil"/>
              <w:bottom w:val="single" w:sz="4" w:space="0" w:color="auto"/>
              <w:right w:val="nil"/>
            </w:tcBorders>
            <w:hideMark/>
          </w:tcPr>
          <w:p w14:paraId="5389C933" w14:textId="77777777" w:rsidR="004048A0" w:rsidRPr="001B0B69" w:rsidRDefault="004048A0" w:rsidP="00EF4B7A">
            <w:pPr>
              <w:pStyle w:val="BodyText"/>
              <w:jc w:val="center"/>
              <w:rPr>
                <w:sz w:val="22"/>
                <w:szCs w:val="22"/>
                <w:lang w:val="en-US"/>
              </w:rPr>
            </w:pPr>
            <w:r w:rsidRPr="001B0B69">
              <w:rPr>
                <w:sz w:val="22"/>
                <w:szCs w:val="22"/>
                <w:lang w:val="en-US"/>
              </w:rPr>
              <w:t>0,547</w:t>
            </w:r>
          </w:p>
        </w:tc>
      </w:tr>
      <w:tr w:rsidR="004048A0" w:rsidRPr="001B0B69" w14:paraId="0E56DD6A" w14:textId="77777777" w:rsidTr="001B5F36">
        <w:trPr>
          <w:trHeight w:val="276"/>
          <w:jc w:val="center"/>
        </w:trPr>
        <w:tc>
          <w:tcPr>
            <w:tcW w:w="6941" w:type="dxa"/>
            <w:gridSpan w:val="3"/>
            <w:tcBorders>
              <w:top w:val="single" w:sz="4" w:space="0" w:color="auto"/>
              <w:left w:val="nil"/>
              <w:bottom w:val="nil"/>
              <w:right w:val="nil"/>
            </w:tcBorders>
            <w:hideMark/>
          </w:tcPr>
          <w:p w14:paraId="47C2918E" w14:textId="77777777" w:rsidR="004048A0" w:rsidRPr="001B0B69" w:rsidRDefault="004048A0" w:rsidP="00EF4B7A">
            <w:pPr>
              <w:pStyle w:val="BodyText"/>
              <w:jc w:val="center"/>
              <w:rPr>
                <w:sz w:val="22"/>
                <w:szCs w:val="22"/>
                <w:lang w:val="en-US"/>
              </w:rPr>
            </w:pPr>
            <w:r w:rsidRPr="001B0B69">
              <w:rPr>
                <w:i/>
                <w:sz w:val="22"/>
                <w:szCs w:val="22"/>
                <w:lang w:val="en-US"/>
              </w:rPr>
              <w:t>Source: SPSS appendix processed by the researcher from appendix p. 130</w:t>
            </w:r>
          </w:p>
        </w:tc>
      </w:tr>
    </w:tbl>
    <w:p w14:paraId="31357880" w14:textId="77777777" w:rsidR="001B0B69" w:rsidRPr="001B0B69" w:rsidRDefault="001B0B69" w:rsidP="004048A0">
      <w:pPr>
        <w:spacing w:line="276" w:lineRule="auto"/>
        <w:ind w:firstLine="709"/>
        <w:rPr>
          <w:color w:val="000000" w:themeColor="text1"/>
        </w:rPr>
      </w:pPr>
    </w:p>
    <w:p w14:paraId="6585C6EF" w14:textId="7B3EBF15" w:rsidR="004048A0" w:rsidRPr="001B0B69" w:rsidRDefault="004048A0" w:rsidP="004048A0">
      <w:pPr>
        <w:spacing w:line="276" w:lineRule="auto"/>
        <w:ind w:firstLine="709"/>
        <w:rPr>
          <w:color w:val="000000" w:themeColor="text1"/>
        </w:rPr>
      </w:pPr>
      <w:r w:rsidRPr="001B0B69">
        <w:rPr>
          <w:color w:val="000000" w:themeColor="text1"/>
        </w:rPr>
        <w:t xml:space="preserve">Table </w:t>
      </w:r>
      <w:r w:rsidR="006E796F" w:rsidRPr="001B0B69">
        <w:rPr>
          <w:color w:val="000000" w:themeColor="text1"/>
        </w:rPr>
        <w:t>11</w:t>
      </w:r>
      <w:r w:rsidRPr="001B0B69">
        <w:rPr>
          <w:color w:val="000000" w:themeColor="text1"/>
        </w:rPr>
        <w:t xml:space="preserve"> shows the results of the partial test and the conclusions reached are as follows:</w:t>
      </w:r>
    </w:p>
    <w:p w14:paraId="582DBAC1" w14:textId="756D2DAA" w:rsidR="004048A0" w:rsidRPr="001B0B69" w:rsidRDefault="004048A0" w:rsidP="00EF4B7A">
      <w:pPr>
        <w:pStyle w:val="ListParagraph"/>
        <w:numPr>
          <w:ilvl w:val="0"/>
          <w:numId w:val="35"/>
        </w:numPr>
        <w:spacing w:line="276" w:lineRule="auto"/>
        <w:rPr>
          <w:color w:val="000000" w:themeColor="text1"/>
        </w:rPr>
      </w:pPr>
      <w:r w:rsidRPr="001B0B69">
        <w:rPr>
          <w:color w:val="000000" w:themeColor="text1"/>
        </w:rPr>
        <w:t>In the budget participation variable, p-value = 0.025 &lt; (0.05) is rejected, which means that the budget participation variable has a significant effect on the managerial performance variable.</w:t>
      </w:r>
    </w:p>
    <w:p w14:paraId="6D626895" w14:textId="74F1A5A9" w:rsidR="004048A0" w:rsidRPr="001B0B69" w:rsidRDefault="004048A0" w:rsidP="00EF4B7A">
      <w:pPr>
        <w:pStyle w:val="ListParagraph"/>
        <w:numPr>
          <w:ilvl w:val="0"/>
          <w:numId w:val="35"/>
        </w:numPr>
        <w:spacing w:line="276" w:lineRule="auto"/>
        <w:rPr>
          <w:color w:val="000000" w:themeColor="text1"/>
        </w:rPr>
      </w:pPr>
      <w:r w:rsidRPr="001B0B69">
        <w:rPr>
          <w:color w:val="000000" w:themeColor="text1"/>
        </w:rPr>
        <w:lastRenderedPageBreak/>
        <w:t>In the motivation variable, p-value = 0.081 &gt; (0.05) is accepted, then H0 is accepted, which means that the motivation variable does not have a significant effect on the managerial performance variable.</w:t>
      </w:r>
    </w:p>
    <w:p w14:paraId="73532099" w14:textId="7129A396" w:rsidR="004048A0" w:rsidRPr="001B0B69" w:rsidRDefault="004048A0" w:rsidP="00EF4B7A">
      <w:pPr>
        <w:pStyle w:val="ListParagraph"/>
        <w:numPr>
          <w:ilvl w:val="0"/>
          <w:numId w:val="35"/>
        </w:numPr>
        <w:spacing w:line="276" w:lineRule="auto"/>
        <w:rPr>
          <w:color w:val="000000" w:themeColor="text1"/>
        </w:rPr>
      </w:pPr>
      <w:r w:rsidRPr="001B0B69">
        <w:rPr>
          <w:color w:val="000000" w:themeColor="text1"/>
        </w:rPr>
        <w:t>In the competency variable, p-value = 0.547 &gt; (0.05) is accepted, then H0 is accepted, which means that the competency variable does not have a significant effect on the managerial performance variable.</w:t>
      </w:r>
    </w:p>
    <w:p w14:paraId="4955027F" w14:textId="77777777" w:rsidR="006E796F" w:rsidRPr="001B0B69" w:rsidRDefault="006E796F" w:rsidP="00EF4B7A">
      <w:pPr>
        <w:spacing w:line="276" w:lineRule="auto"/>
        <w:rPr>
          <w:b/>
          <w:bCs/>
          <w:color w:val="000000" w:themeColor="text1"/>
        </w:rPr>
      </w:pPr>
    </w:p>
    <w:p w14:paraId="5716932E" w14:textId="334C3461" w:rsidR="004048A0" w:rsidRPr="001B0B69" w:rsidRDefault="001B0B69" w:rsidP="001B0B69">
      <w:pPr>
        <w:spacing w:line="276" w:lineRule="auto"/>
        <w:rPr>
          <w:b/>
          <w:bCs/>
          <w:color w:val="000000" w:themeColor="text1"/>
        </w:rPr>
      </w:pPr>
      <w:r w:rsidRPr="001B0B69">
        <w:rPr>
          <w:b/>
          <w:bCs/>
          <w:color w:val="000000" w:themeColor="text1"/>
        </w:rPr>
        <w:t>Multiple Linear Regression Model</w:t>
      </w:r>
    </w:p>
    <w:p w14:paraId="16FEECB1" w14:textId="7EF05B87" w:rsidR="004048A0" w:rsidRPr="001B0B69" w:rsidRDefault="004048A0" w:rsidP="004048A0">
      <w:pPr>
        <w:spacing w:line="276" w:lineRule="auto"/>
        <w:ind w:firstLine="709"/>
        <w:rPr>
          <w:color w:val="000000" w:themeColor="text1"/>
        </w:rPr>
      </w:pPr>
      <w:r w:rsidRPr="001B0B69">
        <w:rPr>
          <w:color w:val="000000" w:themeColor="text1"/>
        </w:rPr>
        <w:t>Multiple linear regression analysis with the aim of finding out how far independent variables affect dependent variables. The independent variables tested in this study are: Budget Participation, Competence and Motivation. The dependent variable in this study is Managerial Performance.</w:t>
      </w:r>
    </w:p>
    <w:p w14:paraId="56D9F0D1" w14:textId="77777777" w:rsidR="001B0B69" w:rsidRPr="001B0B69" w:rsidRDefault="001B0B69" w:rsidP="00EF4B7A">
      <w:pPr>
        <w:spacing w:line="276" w:lineRule="auto"/>
        <w:jc w:val="center"/>
        <w:rPr>
          <w:color w:val="000000" w:themeColor="text1"/>
        </w:rPr>
      </w:pPr>
    </w:p>
    <w:p w14:paraId="486A3DBE" w14:textId="6B5C8151" w:rsidR="004048A0" w:rsidRPr="001B0B69" w:rsidRDefault="004048A0" w:rsidP="00EF4B7A">
      <w:pPr>
        <w:spacing w:line="276" w:lineRule="auto"/>
        <w:jc w:val="center"/>
        <w:rPr>
          <w:color w:val="000000" w:themeColor="text1"/>
        </w:rPr>
      </w:pPr>
      <w:r w:rsidRPr="001B0B69">
        <w:rPr>
          <w:color w:val="000000" w:themeColor="text1"/>
        </w:rPr>
        <w:t xml:space="preserve">Table </w:t>
      </w:r>
      <w:r w:rsidR="006E796F" w:rsidRPr="001B0B69">
        <w:rPr>
          <w:color w:val="000000" w:themeColor="text1"/>
        </w:rPr>
        <w:t>12.</w:t>
      </w:r>
      <w:r w:rsidRPr="001B0B69">
        <w:rPr>
          <w:color w:val="000000" w:themeColor="text1"/>
        </w:rPr>
        <w:t xml:space="preserve"> Coefficient Values in Regression Models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3682"/>
      </w:tblGrid>
      <w:tr w:rsidR="004048A0" w:rsidRPr="001B0B69" w14:paraId="54ED1BE7" w14:textId="77777777" w:rsidTr="001B5F36">
        <w:trPr>
          <w:trHeight w:val="318"/>
          <w:jc w:val="center"/>
        </w:trPr>
        <w:tc>
          <w:tcPr>
            <w:tcW w:w="2976" w:type="dxa"/>
            <w:tcBorders>
              <w:top w:val="single" w:sz="4" w:space="0" w:color="auto"/>
              <w:left w:val="nil"/>
              <w:bottom w:val="single" w:sz="4" w:space="0" w:color="auto"/>
              <w:right w:val="nil"/>
            </w:tcBorders>
            <w:hideMark/>
          </w:tcPr>
          <w:p w14:paraId="3B4827E2" w14:textId="77777777" w:rsidR="004048A0" w:rsidRPr="001B0B69" w:rsidRDefault="004048A0" w:rsidP="00EF4B7A">
            <w:pPr>
              <w:pStyle w:val="BodyText"/>
              <w:jc w:val="center"/>
              <w:rPr>
                <w:b/>
                <w:sz w:val="22"/>
                <w:szCs w:val="22"/>
                <w:lang w:val="en-US"/>
              </w:rPr>
            </w:pPr>
            <w:r w:rsidRPr="001B0B69">
              <w:rPr>
                <w:b/>
                <w:sz w:val="22"/>
                <w:szCs w:val="22"/>
                <w:lang w:val="en-US"/>
              </w:rPr>
              <w:t>Variabel</w:t>
            </w:r>
          </w:p>
        </w:tc>
        <w:tc>
          <w:tcPr>
            <w:tcW w:w="3682" w:type="dxa"/>
            <w:tcBorders>
              <w:top w:val="single" w:sz="4" w:space="0" w:color="auto"/>
              <w:left w:val="nil"/>
              <w:bottom w:val="single" w:sz="4" w:space="0" w:color="auto"/>
              <w:right w:val="nil"/>
            </w:tcBorders>
            <w:hideMark/>
          </w:tcPr>
          <w:p w14:paraId="5A2EEAA8" w14:textId="26232251" w:rsidR="004048A0" w:rsidRPr="001B0B69" w:rsidRDefault="001B0B69" w:rsidP="00EF4B7A">
            <w:pPr>
              <w:pStyle w:val="BodyText"/>
              <w:jc w:val="center"/>
              <w:rPr>
                <w:b/>
                <w:sz w:val="22"/>
                <w:szCs w:val="22"/>
                <w:lang w:val="en-US"/>
              </w:rPr>
            </w:pPr>
            <w:r w:rsidRPr="001B0B69">
              <w:rPr>
                <w:b/>
                <w:sz w:val="22"/>
                <w:szCs w:val="22"/>
                <w:lang w:val="en-US"/>
              </w:rPr>
              <w:t>Coefficient</w:t>
            </w:r>
          </w:p>
        </w:tc>
      </w:tr>
      <w:tr w:rsidR="004048A0" w:rsidRPr="001B0B69" w14:paraId="37413376" w14:textId="77777777" w:rsidTr="001B5F36">
        <w:trPr>
          <w:trHeight w:val="316"/>
          <w:jc w:val="center"/>
        </w:trPr>
        <w:tc>
          <w:tcPr>
            <w:tcW w:w="2976" w:type="dxa"/>
            <w:tcBorders>
              <w:top w:val="single" w:sz="4" w:space="0" w:color="auto"/>
              <w:left w:val="nil"/>
              <w:bottom w:val="single" w:sz="4" w:space="0" w:color="auto"/>
              <w:right w:val="nil"/>
            </w:tcBorders>
            <w:hideMark/>
          </w:tcPr>
          <w:p w14:paraId="275443D6" w14:textId="77777777" w:rsidR="004048A0" w:rsidRPr="001B0B69" w:rsidRDefault="004048A0" w:rsidP="00EF4B7A">
            <w:pPr>
              <w:pStyle w:val="BodyText"/>
              <w:jc w:val="center"/>
              <w:rPr>
                <w:i/>
                <w:sz w:val="22"/>
                <w:szCs w:val="22"/>
                <w:lang w:val="en-US"/>
              </w:rPr>
            </w:pPr>
            <w:r w:rsidRPr="001B0B69">
              <w:rPr>
                <w:i/>
                <w:sz w:val="22"/>
                <w:szCs w:val="22"/>
                <w:lang w:val="en-US"/>
              </w:rPr>
              <w:t>Intercept</w:t>
            </w:r>
          </w:p>
        </w:tc>
        <w:tc>
          <w:tcPr>
            <w:tcW w:w="3682" w:type="dxa"/>
            <w:tcBorders>
              <w:top w:val="single" w:sz="4" w:space="0" w:color="auto"/>
              <w:left w:val="nil"/>
              <w:bottom w:val="single" w:sz="4" w:space="0" w:color="auto"/>
              <w:right w:val="nil"/>
            </w:tcBorders>
            <w:hideMark/>
          </w:tcPr>
          <w:p w14:paraId="66BB3731" w14:textId="77777777" w:rsidR="004048A0" w:rsidRPr="001B0B69" w:rsidRDefault="004048A0" w:rsidP="00EF4B7A">
            <w:pPr>
              <w:pStyle w:val="BodyText"/>
              <w:jc w:val="center"/>
              <w:rPr>
                <w:sz w:val="22"/>
                <w:szCs w:val="22"/>
                <w:lang w:val="en-US"/>
              </w:rPr>
            </w:pPr>
            <w:r w:rsidRPr="001B0B69">
              <w:rPr>
                <w:sz w:val="22"/>
                <w:szCs w:val="22"/>
                <w:lang w:val="en-US"/>
              </w:rPr>
              <w:t>-1.199,467</w:t>
            </w:r>
          </w:p>
        </w:tc>
      </w:tr>
      <w:tr w:rsidR="004048A0" w:rsidRPr="001B0B69" w14:paraId="7C9FBD40" w14:textId="77777777" w:rsidTr="001B5F36">
        <w:trPr>
          <w:trHeight w:val="317"/>
          <w:jc w:val="center"/>
        </w:trPr>
        <w:tc>
          <w:tcPr>
            <w:tcW w:w="2976" w:type="dxa"/>
            <w:tcBorders>
              <w:top w:val="single" w:sz="4" w:space="0" w:color="auto"/>
              <w:left w:val="nil"/>
              <w:bottom w:val="single" w:sz="4" w:space="0" w:color="auto"/>
              <w:right w:val="nil"/>
            </w:tcBorders>
            <w:hideMark/>
          </w:tcPr>
          <w:p w14:paraId="5B5FF57B" w14:textId="77777777" w:rsidR="004048A0" w:rsidRPr="001B0B69" w:rsidRDefault="004048A0" w:rsidP="00EF4B7A">
            <w:pPr>
              <w:pStyle w:val="BodyText"/>
              <w:jc w:val="center"/>
              <w:rPr>
                <w:sz w:val="22"/>
                <w:szCs w:val="22"/>
                <w:lang w:val="en-US"/>
              </w:rPr>
            </w:pPr>
            <w:r w:rsidRPr="001B0B69">
              <w:rPr>
                <w:sz w:val="22"/>
                <w:szCs w:val="22"/>
                <w:lang w:val="en-US"/>
              </w:rPr>
              <w:t>Budget Participation (X1)</w:t>
            </w:r>
          </w:p>
        </w:tc>
        <w:tc>
          <w:tcPr>
            <w:tcW w:w="3682" w:type="dxa"/>
            <w:tcBorders>
              <w:top w:val="single" w:sz="4" w:space="0" w:color="auto"/>
              <w:left w:val="nil"/>
              <w:bottom w:val="single" w:sz="4" w:space="0" w:color="auto"/>
              <w:right w:val="nil"/>
            </w:tcBorders>
            <w:hideMark/>
          </w:tcPr>
          <w:p w14:paraId="0B5951B1" w14:textId="77777777" w:rsidR="004048A0" w:rsidRPr="001B0B69" w:rsidRDefault="004048A0" w:rsidP="00EF4B7A">
            <w:pPr>
              <w:pStyle w:val="BodyText"/>
              <w:jc w:val="center"/>
              <w:rPr>
                <w:sz w:val="22"/>
                <w:szCs w:val="22"/>
                <w:lang w:val="en-US"/>
              </w:rPr>
            </w:pPr>
            <w:r w:rsidRPr="001B0B69">
              <w:rPr>
                <w:sz w:val="22"/>
                <w:szCs w:val="22"/>
                <w:lang w:val="en-US"/>
              </w:rPr>
              <w:t>27,784</w:t>
            </w:r>
          </w:p>
        </w:tc>
      </w:tr>
      <w:tr w:rsidR="004048A0" w:rsidRPr="001B0B69" w14:paraId="270FB20F" w14:textId="77777777" w:rsidTr="001B5F36">
        <w:trPr>
          <w:trHeight w:val="317"/>
          <w:jc w:val="center"/>
        </w:trPr>
        <w:tc>
          <w:tcPr>
            <w:tcW w:w="2976" w:type="dxa"/>
            <w:tcBorders>
              <w:top w:val="single" w:sz="4" w:space="0" w:color="auto"/>
              <w:left w:val="nil"/>
              <w:bottom w:val="single" w:sz="4" w:space="0" w:color="auto"/>
              <w:right w:val="nil"/>
            </w:tcBorders>
            <w:hideMark/>
          </w:tcPr>
          <w:p w14:paraId="172C4B2B" w14:textId="77777777" w:rsidR="004048A0" w:rsidRPr="001B0B69" w:rsidRDefault="004048A0" w:rsidP="00EF4B7A">
            <w:pPr>
              <w:pStyle w:val="BodyText"/>
              <w:jc w:val="center"/>
              <w:rPr>
                <w:sz w:val="22"/>
                <w:szCs w:val="22"/>
                <w:lang w:val="en-US"/>
              </w:rPr>
            </w:pPr>
            <w:r w:rsidRPr="001B0B69">
              <w:rPr>
                <w:sz w:val="22"/>
                <w:szCs w:val="22"/>
                <w:lang w:val="en-US"/>
              </w:rPr>
              <w:t>Motivation (X2)</w:t>
            </w:r>
          </w:p>
        </w:tc>
        <w:tc>
          <w:tcPr>
            <w:tcW w:w="3682" w:type="dxa"/>
            <w:tcBorders>
              <w:top w:val="single" w:sz="4" w:space="0" w:color="auto"/>
              <w:left w:val="nil"/>
              <w:bottom w:val="single" w:sz="4" w:space="0" w:color="auto"/>
              <w:right w:val="nil"/>
            </w:tcBorders>
            <w:hideMark/>
          </w:tcPr>
          <w:p w14:paraId="194C8179" w14:textId="77777777" w:rsidR="004048A0" w:rsidRPr="001B0B69" w:rsidRDefault="004048A0" w:rsidP="00EF4B7A">
            <w:pPr>
              <w:pStyle w:val="BodyText"/>
              <w:jc w:val="center"/>
              <w:rPr>
                <w:sz w:val="22"/>
                <w:szCs w:val="22"/>
                <w:lang w:val="en-US"/>
              </w:rPr>
            </w:pPr>
            <w:r w:rsidRPr="001B0B69">
              <w:rPr>
                <w:sz w:val="22"/>
                <w:szCs w:val="22"/>
                <w:lang w:val="en-US"/>
              </w:rPr>
              <w:t>44,015</w:t>
            </w:r>
          </w:p>
        </w:tc>
      </w:tr>
      <w:tr w:rsidR="004048A0" w:rsidRPr="001B0B69" w14:paraId="11E1DEC2" w14:textId="77777777" w:rsidTr="001B5F36">
        <w:trPr>
          <w:trHeight w:val="317"/>
          <w:jc w:val="center"/>
        </w:trPr>
        <w:tc>
          <w:tcPr>
            <w:tcW w:w="2976" w:type="dxa"/>
            <w:tcBorders>
              <w:top w:val="single" w:sz="4" w:space="0" w:color="auto"/>
              <w:left w:val="nil"/>
              <w:bottom w:val="single" w:sz="4" w:space="0" w:color="auto"/>
              <w:right w:val="nil"/>
            </w:tcBorders>
            <w:hideMark/>
          </w:tcPr>
          <w:p w14:paraId="202EBEA5" w14:textId="77777777" w:rsidR="004048A0" w:rsidRPr="001B0B69" w:rsidRDefault="004048A0" w:rsidP="00EF4B7A">
            <w:pPr>
              <w:pStyle w:val="BodyText"/>
              <w:jc w:val="center"/>
              <w:rPr>
                <w:sz w:val="22"/>
                <w:szCs w:val="22"/>
                <w:lang w:val="en-US"/>
              </w:rPr>
            </w:pPr>
            <w:r w:rsidRPr="001B0B69">
              <w:rPr>
                <w:sz w:val="22"/>
                <w:szCs w:val="22"/>
                <w:lang w:val="en-US"/>
              </w:rPr>
              <w:t>Competencies (X3)</w:t>
            </w:r>
          </w:p>
        </w:tc>
        <w:tc>
          <w:tcPr>
            <w:tcW w:w="3682" w:type="dxa"/>
            <w:tcBorders>
              <w:top w:val="single" w:sz="4" w:space="0" w:color="auto"/>
              <w:left w:val="nil"/>
              <w:bottom w:val="single" w:sz="4" w:space="0" w:color="auto"/>
              <w:right w:val="nil"/>
            </w:tcBorders>
            <w:hideMark/>
          </w:tcPr>
          <w:p w14:paraId="3C548793" w14:textId="77777777" w:rsidR="004048A0" w:rsidRPr="001B0B69" w:rsidRDefault="004048A0" w:rsidP="00EF4B7A">
            <w:pPr>
              <w:pStyle w:val="BodyText"/>
              <w:jc w:val="center"/>
              <w:rPr>
                <w:sz w:val="22"/>
                <w:szCs w:val="22"/>
                <w:lang w:val="en-US"/>
              </w:rPr>
            </w:pPr>
            <w:r w:rsidRPr="001B0B69">
              <w:rPr>
                <w:sz w:val="22"/>
                <w:szCs w:val="22"/>
                <w:lang w:val="en-US"/>
              </w:rPr>
              <w:t>12,787</w:t>
            </w:r>
          </w:p>
        </w:tc>
      </w:tr>
      <w:tr w:rsidR="004048A0" w:rsidRPr="001B0B69" w14:paraId="6D7BB0E5" w14:textId="77777777" w:rsidTr="001B5F36">
        <w:trPr>
          <w:trHeight w:val="317"/>
          <w:jc w:val="center"/>
        </w:trPr>
        <w:tc>
          <w:tcPr>
            <w:tcW w:w="6658" w:type="dxa"/>
            <w:gridSpan w:val="2"/>
            <w:tcBorders>
              <w:top w:val="single" w:sz="4" w:space="0" w:color="auto"/>
              <w:left w:val="nil"/>
              <w:bottom w:val="nil"/>
              <w:right w:val="nil"/>
            </w:tcBorders>
            <w:hideMark/>
          </w:tcPr>
          <w:tbl>
            <w:tblPr>
              <w:tblW w:w="6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3"/>
            </w:tblGrid>
            <w:tr w:rsidR="004048A0" w:rsidRPr="001B0B69" w14:paraId="1A605B3D" w14:textId="77777777" w:rsidTr="00BC0FE2">
              <w:trPr>
                <w:trHeight w:val="276"/>
              </w:trPr>
              <w:tc>
                <w:tcPr>
                  <w:tcW w:w="6663" w:type="dxa"/>
                  <w:tcBorders>
                    <w:top w:val="single" w:sz="4" w:space="0" w:color="auto"/>
                    <w:left w:val="nil"/>
                    <w:bottom w:val="nil"/>
                    <w:right w:val="nil"/>
                  </w:tcBorders>
                  <w:hideMark/>
                </w:tcPr>
                <w:p w14:paraId="212B6F7A" w14:textId="77777777" w:rsidR="004048A0" w:rsidRPr="001B0B69" w:rsidRDefault="004048A0" w:rsidP="00EF4B7A">
                  <w:pPr>
                    <w:pStyle w:val="BodyText"/>
                    <w:jc w:val="center"/>
                    <w:rPr>
                      <w:sz w:val="22"/>
                      <w:szCs w:val="22"/>
                      <w:lang w:val="en-US"/>
                    </w:rPr>
                  </w:pPr>
                  <w:r w:rsidRPr="001B0B69">
                    <w:rPr>
                      <w:i/>
                      <w:sz w:val="22"/>
                      <w:szCs w:val="22"/>
                      <w:lang w:val="en-US"/>
                    </w:rPr>
                    <w:t>Source: SPSS appendix processed by the researcher from appendix p. 130</w:t>
                  </w:r>
                </w:p>
              </w:tc>
            </w:tr>
          </w:tbl>
          <w:p w14:paraId="7D98E44F" w14:textId="77777777" w:rsidR="004048A0" w:rsidRPr="001B0B69" w:rsidRDefault="004048A0" w:rsidP="00EF4B7A">
            <w:pPr>
              <w:pStyle w:val="BodyText"/>
              <w:jc w:val="center"/>
              <w:rPr>
                <w:sz w:val="22"/>
                <w:szCs w:val="22"/>
                <w:lang w:val="en-US"/>
              </w:rPr>
            </w:pPr>
          </w:p>
        </w:tc>
      </w:tr>
    </w:tbl>
    <w:p w14:paraId="328BA15B" w14:textId="77777777" w:rsidR="001B0B69" w:rsidRPr="001B0B69" w:rsidRDefault="001B0B69" w:rsidP="004048A0">
      <w:pPr>
        <w:spacing w:line="276" w:lineRule="auto"/>
        <w:ind w:firstLine="709"/>
        <w:rPr>
          <w:color w:val="000000" w:themeColor="text1"/>
        </w:rPr>
      </w:pPr>
    </w:p>
    <w:p w14:paraId="77C2826C" w14:textId="01F86D74" w:rsidR="004048A0" w:rsidRPr="001B0B69" w:rsidRDefault="004048A0" w:rsidP="004048A0">
      <w:pPr>
        <w:spacing w:line="276" w:lineRule="auto"/>
        <w:ind w:firstLine="709"/>
        <w:rPr>
          <w:color w:val="000000" w:themeColor="text1"/>
        </w:rPr>
      </w:pPr>
      <w:r w:rsidRPr="001B0B69">
        <w:rPr>
          <w:color w:val="000000" w:themeColor="text1"/>
        </w:rPr>
        <w:t xml:space="preserve">Table </w:t>
      </w:r>
      <w:r w:rsidR="006E796F" w:rsidRPr="001B0B69">
        <w:rPr>
          <w:color w:val="000000" w:themeColor="text1"/>
        </w:rPr>
        <w:t>12</w:t>
      </w:r>
      <w:r w:rsidRPr="001B0B69">
        <w:rPr>
          <w:color w:val="000000" w:themeColor="text1"/>
        </w:rPr>
        <w:t xml:space="preserve"> shows the coefficient values for the regression model, so the multiple linear regression model equation obtained is as follows:</w:t>
      </w:r>
    </w:p>
    <w:p w14:paraId="7C126F21" w14:textId="77777777" w:rsidR="004048A0" w:rsidRPr="001B0B69" w:rsidRDefault="004048A0" w:rsidP="004048A0">
      <w:pPr>
        <w:spacing w:line="276" w:lineRule="auto"/>
        <w:ind w:firstLine="709"/>
        <w:rPr>
          <w:color w:val="000000" w:themeColor="text1"/>
        </w:rPr>
      </w:pPr>
      <w:r w:rsidRPr="001B0B69">
        <w:rPr>
          <w:color w:val="000000" w:themeColor="text1"/>
        </w:rPr>
        <w:t xml:space="preserve">                      Y² =− 1.199,467 + 27,784 X1 + 44,015 X2 + 12,787 X3</w:t>
      </w:r>
    </w:p>
    <w:p w14:paraId="6A3E359A" w14:textId="77777777" w:rsidR="004048A0" w:rsidRPr="001B0B69" w:rsidRDefault="004048A0" w:rsidP="004048A0">
      <w:pPr>
        <w:spacing w:line="276" w:lineRule="auto"/>
        <w:ind w:firstLine="709"/>
        <w:rPr>
          <w:color w:val="000000" w:themeColor="text1"/>
        </w:rPr>
      </w:pPr>
      <w:r w:rsidRPr="001B0B69">
        <w:rPr>
          <w:color w:val="000000" w:themeColor="text1"/>
        </w:rPr>
        <w:t xml:space="preserve">From the regression model equation above, it can be said that if the value of all the free variables is constant, then the value of the variable Y is worth √(-1,199,467) units. If the value of X_1 increases by 1 unit, then the value of Y increases by √27.784 units. If the value of X_2 increases by 1 unit, then the value of Y increases by √44.015 units. If the value of X_3 increases by 1 unit, then the value of Y increases by √12.787 units. </w:t>
      </w:r>
    </w:p>
    <w:p w14:paraId="5583B44E" w14:textId="77777777" w:rsidR="006E796F" w:rsidRPr="001B0B69" w:rsidRDefault="006E796F" w:rsidP="00BC0FE2">
      <w:pPr>
        <w:spacing w:line="276" w:lineRule="auto"/>
        <w:rPr>
          <w:b/>
          <w:bCs/>
          <w:color w:val="000000" w:themeColor="text1"/>
        </w:rPr>
      </w:pPr>
    </w:p>
    <w:p w14:paraId="3529E3F6" w14:textId="3F0FA041" w:rsidR="004048A0" w:rsidRPr="001B0B69" w:rsidRDefault="004048A0" w:rsidP="00BC0FE2">
      <w:pPr>
        <w:spacing w:line="276" w:lineRule="auto"/>
        <w:rPr>
          <w:b/>
          <w:bCs/>
          <w:color w:val="000000" w:themeColor="text1"/>
        </w:rPr>
      </w:pPr>
      <w:r w:rsidRPr="001B0B69">
        <w:rPr>
          <w:b/>
          <w:bCs/>
          <w:color w:val="000000" w:themeColor="text1"/>
        </w:rPr>
        <w:t>The Effect of Budget Participation on Managerial Performance</w:t>
      </w:r>
    </w:p>
    <w:p w14:paraId="231B1D6D" w14:textId="77777777" w:rsidR="004048A0" w:rsidRPr="001B0B69" w:rsidRDefault="004048A0" w:rsidP="004048A0">
      <w:pPr>
        <w:spacing w:line="276" w:lineRule="auto"/>
        <w:ind w:firstLine="709"/>
        <w:rPr>
          <w:color w:val="000000" w:themeColor="text1"/>
        </w:rPr>
      </w:pPr>
      <w:r w:rsidRPr="001B0B69">
        <w:rPr>
          <w:color w:val="000000" w:themeColor="text1"/>
        </w:rPr>
        <w:t xml:space="preserve">Statistically, it shows that the variable of budget participation has an effect on managerial performance at Datu Kandang Haji Hospital. The Budget Participation variable has a t-count value of 2.361 with a significance level of 0.025. The significance value shows that it is smaller than the confidence level of 0.05, so it can be concluded at a confidence level of 5% that the influence of budget participation on managerial performance has a significant effect. </w:t>
      </w:r>
    </w:p>
    <w:p w14:paraId="624495E5" w14:textId="1EECFEEF" w:rsidR="004048A0" w:rsidRPr="001B0B69" w:rsidRDefault="004048A0" w:rsidP="004048A0">
      <w:pPr>
        <w:spacing w:line="276" w:lineRule="auto"/>
        <w:ind w:firstLine="709"/>
        <w:rPr>
          <w:color w:val="000000" w:themeColor="text1"/>
        </w:rPr>
      </w:pPr>
      <w:r w:rsidRPr="001B0B69">
        <w:rPr>
          <w:color w:val="000000" w:themeColor="text1"/>
        </w:rPr>
        <w:t xml:space="preserve">The results of this study conclude that the lower the involvement of managers in budget preparation at Datu Kandang Haji Hospital, the more managerial performance will decrease. Participatory budget participation allows managers to consider how to build budgets. Participation in the budgeting process provides an opportunity for top management to obtain more accurate information about the conditions and challenges that </w:t>
      </w:r>
      <w:r w:rsidRPr="001B0B69">
        <w:rPr>
          <w:color w:val="000000" w:themeColor="text1"/>
        </w:rPr>
        <w:lastRenderedPageBreak/>
        <w:t>hospitals are and will face. Budgeting participation allows subordinates to interact and communicate more often with their superiors, which can ultimately affect the budget targets they obtain. Active involvement in budgeting allows managers or superiors to adjust the budget to be more in line with expected performance. This process also builds an emotional connection between superiors and subordinates, thus fostering a higher sense of responsibility in budget implementation</w:t>
      </w:r>
      <w:r w:rsidR="006D1B22">
        <w:rPr>
          <w:color w:val="000000" w:themeColor="text1"/>
        </w:rPr>
        <w:t xml:space="preserve"> (</w:t>
      </w:r>
      <w:r w:rsidR="006D1B22" w:rsidRPr="00222C11">
        <w:rPr>
          <w:color w:val="000000" w:themeColor="text1"/>
          <w:szCs w:val="24"/>
          <w:lang w:val="en-ID"/>
        </w:rPr>
        <w:t>Hasibuan, 2018)</w:t>
      </w:r>
      <w:r w:rsidRPr="001B0B69">
        <w:rPr>
          <w:color w:val="000000" w:themeColor="text1"/>
        </w:rPr>
        <w:t>.</w:t>
      </w:r>
    </w:p>
    <w:p w14:paraId="7C374DFA" w14:textId="77777777" w:rsidR="004048A0" w:rsidRPr="001B0B69" w:rsidRDefault="004048A0" w:rsidP="004048A0">
      <w:pPr>
        <w:spacing w:line="276" w:lineRule="auto"/>
        <w:ind w:firstLine="709"/>
        <w:rPr>
          <w:color w:val="000000" w:themeColor="text1"/>
        </w:rPr>
      </w:pPr>
      <w:r w:rsidRPr="001B0B69">
        <w:rPr>
          <w:color w:val="000000" w:themeColor="text1"/>
        </w:rPr>
        <w:t>The impact of participation in budgeting shapes positive and negative behaviors, depending on how the budget is implemented and understood by the implementers. An increased sense of responsibility is accompanied by increased work motivation, as budgets are often used as a basis in performance appraisals. Managers are encouraged to improve work performance to achieve the set targets.</w:t>
      </w:r>
    </w:p>
    <w:p w14:paraId="70B75D37" w14:textId="77777777" w:rsidR="004048A0" w:rsidRPr="001B0B69" w:rsidRDefault="004048A0" w:rsidP="004048A0">
      <w:pPr>
        <w:spacing w:line="276" w:lineRule="auto"/>
        <w:ind w:firstLine="709"/>
        <w:rPr>
          <w:color w:val="000000" w:themeColor="text1"/>
        </w:rPr>
      </w:pPr>
      <w:r w:rsidRPr="001B0B69">
        <w:rPr>
          <w:color w:val="000000" w:themeColor="text1"/>
        </w:rPr>
        <w:t>Stewardship theory states that managers who act as servants of the organization will do their best to achieve the budget targets that have been set, especially if they are directly involved in the drafting process. Budget participation gives managers greater control over the budget planning process. That way, budget participation tends to improve managerial performance.</w:t>
      </w:r>
    </w:p>
    <w:p w14:paraId="457FE850" w14:textId="7CC2B1BA" w:rsidR="004048A0" w:rsidRPr="001B0B69" w:rsidRDefault="004048A0" w:rsidP="004048A0">
      <w:pPr>
        <w:spacing w:line="276" w:lineRule="auto"/>
        <w:ind w:firstLine="709"/>
        <w:rPr>
          <w:color w:val="000000" w:themeColor="text1"/>
        </w:rPr>
      </w:pPr>
      <w:r w:rsidRPr="001B0B69">
        <w:rPr>
          <w:color w:val="000000" w:themeColor="text1"/>
        </w:rPr>
        <w:t>In line with research conducted by Nuraini Novitasari (2022), it is stated that budget participation has a significant effect on managerial performance. This means that, the better the budget participation, the better the managerial performance, and vice versa, the worse the budget participation, the worse the managerial performance. Participatory budgeting allows lower-level managers to be involved in the budgeting process. Through this approach, they feel a greater responsibility and are encouraged to contribute creatively</w:t>
      </w:r>
      <w:r w:rsidR="006D1B22">
        <w:rPr>
          <w:color w:val="000000" w:themeColor="text1"/>
        </w:rPr>
        <w:t xml:space="preserve"> (</w:t>
      </w:r>
      <w:r w:rsidR="006D1B22" w:rsidRPr="00222C11">
        <w:rPr>
          <w:color w:val="000000" w:themeColor="text1"/>
          <w:szCs w:val="24"/>
          <w:lang w:val="en-ID"/>
        </w:rPr>
        <w:t>Gitariani, 2021)</w:t>
      </w:r>
      <w:r w:rsidRPr="001B0B69">
        <w:rPr>
          <w:color w:val="000000" w:themeColor="text1"/>
        </w:rPr>
        <w:t>.</w:t>
      </w:r>
    </w:p>
    <w:p w14:paraId="57001D1A" w14:textId="77777777" w:rsidR="004048A0" w:rsidRPr="001B0B69" w:rsidRDefault="004048A0" w:rsidP="004048A0">
      <w:pPr>
        <w:spacing w:line="276" w:lineRule="auto"/>
        <w:ind w:firstLine="709"/>
        <w:rPr>
          <w:color w:val="000000" w:themeColor="text1"/>
        </w:rPr>
      </w:pPr>
      <w:r w:rsidRPr="001B0B69">
        <w:rPr>
          <w:color w:val="000000" w:themeColor="text1"/>
        </w:rPr>
        <w:t>Direct involvement in budgeting makes budget goals more aligned with the manager's personal goals. This alignment results in stronger goal congruence, so that the budget is not only a control tool, but also a motivation to achieve organizational goals. Increased responsibilities and challenges in this process provide non-monetary incentives, which can ultimately drive higher performance among lower-level managers.</w:t>
      </w:r>
    </w:p>
    <w:p w14:paraId="3A6958B2" w14:textId="7ED166A0" w:rsidR="004048A0" w:rsidRPr="001B0B69" w:rsidRDefault="004048A0" w:rsidP="004048A0">
      <w:pPr>
        <w:spacing w:line="276" w:lineRule="auto"/>
        <w:ind w:firstLine="709"/>
        <w:rPr>
          <w:color w:val="000000" w:themeColor="text1"/>
        </w:rPr>
      </w:pPr>
      <w:r w:rsidRPr="001B0B69">
        <w:rPr>
          <w:color w:val="000000" w:themeColor="text1"/>
        </w:rPr>
        <w:t>Regarding participation in budgeting, research conducted by Hasanuddin et al., (2023) also said the same thing, the more people participate in budgeting, the more ideas (thoughts) will be obtained so that a person feels important and also responsible for what he or she does</w:t>
      </w:r>
      <w:r w:rsidR="006D1B22">
        <w:rPr>
          <w:color w:val="000000" w:themeColor="text1"/>
        </w:rPr>
        <w:t xml:space="preserve"> (</w:t>
      </w:r>
      <w:r w:rsidR="006D1B22" w:rsidRPr="00222C11">
        <w:rPr>
          <w:color w:val="000000" w:themeColor="text1"/>
          <w:szCs w:val="24"/>
          <w:lang w:val="en-ID"/>
        </w:rPr>
        <w:t>Nengsy, 2019)</w:t>
      </w:r>
      <w:r w:rsidRPr="001B0B69">
        <w:rPr>
          <w:color w:val="000000" w:themeColor="text1"/>
        </w:rPr>
        <w:t>.</w:t>
      </w:r>
    </w:p>
    <w:p w14:paraId="44AEDB8B" w14:textId="77777777" w:rsidR="006E796F" w:rsidRPr="001B0B69" w:rsidRDefault="006E796F" w:rsidP="004048A0">
      <w:pPr>
        <w:spacing w:line="276" w:lineRule="auto"/>
        <w:ind w:firstLine="709"/>
        <w:rPr>
          <w:color w:val="000000" w:themeColor="text1"/>
        </w:rPr>
      </w:pPr>
    </w:p>
    <w:p w14:paraId="767C6DDE" w14:textId="2C28A594" w:rsidR="004048A0" w:rsidRPr="001B0B69" w:rsidRDefault="004048A0" w:rsidP="00BC0FE2">
      <w:pPr>
        <w:spacing w:line="276" w:lineRule="auto"/>
        <w:rPr>
          <w:b/>
          <w:bCs/>
          <w:color w:val="000000" w:themeColor="text1"/>
        </w:rPr>
      </w:pPr>
      <w:r w:rsidRPr="001B0B69">
        <w:rPr>
          <w:b/>
          <w:bCs/>
          <w:color w:val="000000" w:themeColor="text1"/>
        </w:rPr>
        <w:t>The Influence of Motivation on Managerial Performance</w:t>
      </w:r>
    </w:p>
    <w:p w14:paraId="1E8FC93F" w14:textId="77777777" w:rsidR="004048A0" w:rsidRPr="001B0B69" w:rsidRDefault="004048A0" w:rsidP="004048A0">
      <w:pPr>
        <w:spacing w:line="276" w:lineRule="auto"/>
        <w:ind w:firstLine="709"/>
        <w:rPr>
          <w:color w:val="000000" w:themeColor="text1"/>
        </w:rPr>
      </w:pPr>
      <w:r w:rsidRPr="001B0B69">
        <w:rPr>
          <w:color w:val="000000" w:themeColor="text1"/>
        </w:rPr>
        <w:t xml:space="preserve">Motivation statistically had no effect on managerial performance at Datu Kandang Haji Hospital. The motivation variable had a t-value of 1.805 with a significance level of 0.081. The significance value shows that it is greater than the confidence level of 0.05, so it can be concluded at a confidence level of 5% that the influence of motivation on managerial performance does not have a significant effect on managerial performance. </w:t>
      </w:r>
    </w:p>
    <w:p w14:paraId="0D28496F" w14:textId="77777777" w:rsidR="004048A0" w:rsidRPr="001B0B69" w:rsidRDefault="004048A0" w:rsidP="004048A0">
      <w:pPr>
        <w:spacing w:line="276" w:lineRule="auto"/>
        <w:ind w:firstLine="709"/>
        <w:rPr>
          <w:color w:val="000000" w:themeColor="text1"/>
        </w:rPr>
      </w:pPr>
      <w:r w:rsidRPr="001B0B69">
        <w:rPr>
          <w:color w:val="000000" w:themeColor="text1"/>
        </w:rPr>
        <w:t xml:space="preserve">Lack of appreciation and assessment in the form of praise or bonuses from superiors to managers can result in low motivation for managers at work. Inability to use one's potential and work independently is also one of the causes of motivational factors </w:t>
      </w:r>
      <w:r w:rsidRPr="001B0B69">
        <w:rPr>
          <w:color w:val="000000" w:themeColor="text1"/>
        </w:rPr>
        <w:lastRenderedPageBreak/>
        <w:t>that do not affect managerial performance. The habit of relying on others for direction or support can make managers less courageous to take action on their own. In the public sector, especially hospitals, responsibilities are often divided between many parties, so managers feel that they have less direct influence on performance results.</w:t>
      </w:r>
    </w:p>
    <w:p w14:paraId="5D95EF1B" w14:textId="77777777" w:rsidR="004048A0" w:rsidRPr="001B0B69" w:rsidRDefault="004048A0" w:rsidP="004048A0">
      <w:pPr>
        <w:spacing w:line="276" w:lineRule="auto"/>
        <w:ind w:firstLine="709"/>
        <w:rPr>
          <w:color w:val="000000" w:themeColor="text1"/>
        </w:rPr>
      </w:pPr>
      <w:r w:rsidRPr="001B0B69">
        <w:rPr>
          <w:color w:val="000000" w:themeColor="text1"/>
        </w:rPr>
        <w:t>Incentive and reward programs increase motivation because they reward the behaviors that underlie achievement and can improve value alignment, thereby increasing productivity. The distribution of service incentives at the Data Kandang Haji Hospital has not used a remunition system, where the remunition itself provides benefits for managers or other employees. The existence of a remunition system will provide appreciation for work and performance. Proper and fair remuneration managers or employees are expected to have motivation to work and achieve. Managers may lack the knowledge to implement successful motivational programs to improve service and create a positive work environment. The budgeting process will run smoothly if it is a highly motivated manager or employee and vice versa.</w:t>
      </w:r>
    </w:p>
    <w:p w14:paraId="5C02B919" w14:textId="77777777" w:rsidR="004048A0" w:rsidRPr="001B0B69" w:rsidRDefault="004048A0" w:rsidP="004048A0">
      <w:pPr>
        <w:spacing w:line="276" w:lineRule="auto"/>
        <w:ind w:firstLine="709"/>
        <w:rPr>
          <w:color w:val="000000" w:themeColor="text1"/>
        </w:rPr>
      </w:pPr>
      <w:r w:rsidRPr="001B0B69">
        <w:rPr>
          <w:color w:val="000000" w:themeColor="text1"/>
        </w:rPr>
        <w:t>Stewardship theory states managers who act as stewards not only have responsibility for their work but also have the drive within themselves to serve the organization and contribute to its success. This research is not in line with the research of Suryadi et al., (2021) whose motivation has a positive effect on managerial performance. The main factor in getting the job done is closely related to the individual's drives, abilities, and desires. Without motivation, work cannot be completed optimally. The success of a manager depends heavily on his ability to motivate others, both subordinates, colleagues, and other parties involved in the organization. This ability creates a more productive and goal-oriented work environment.</w:t>
      </w:r>
    </w:p>
    <w:p w14:paraId="6F83C933" w14:textId="77777777" w:rsidR="004048A0" w:rsidRPr="001B0B69" w:rsidRDefault="004048A0" w:rsidP="004048A0">
      <w:pPr>
        <w:spacing w:line="276" w:lineRule="auto"/>
        <w:ind w:firstLine="709"/>
        <w:rPr>
          <w:color w:val="000000" w:themeColor="text1"/>
        </w:rPr>
      </w:pPr>
      <w:r w:rsidRPr="001B0B69">
        <w:rPr>
          <w:color w:val="000000" w:themeColor="text1"/>
        </w:rPr>
        <w:t>Research by Utariani et al., (2022) also states that motivation has a positive effect on managerial performance. This means that the higher the work motivation given to employees, the more it will lead to increased managerial performance.</w:t>
      </w:r>
    </w:p>
    <w:p w14:paraId="61C96AE7" w14:textId="77777777" w:rsidR="006E796F" w:rsidRPr="001B0B69" w:rsidRDefault="006E796F" w:rsidP="004048A0">
      <w:pPr>
        <w:spacing w:line="276" w:lineRule="auto"/>
        <w:ind w:firstLine="709"/>
        <w:rPr>
          <w:color w:val="000000" w:themeColor="text1"/>
        </w:rPr>
      </w:pPr>
    </w:p>
    <w:p w14:paraId="2DCA908E" w14:textId="386E19B3" w:rsidR="004048A0" w:rsidRPr="001B0B69" w:rsidRDefault="004048A0" w:rsidP="00BC0FE2">
      <w:pPr>
        <w:spacing w:line="276" w:lineRule="auto"/>
        <w:rPr>
          <w:b/>
          <w:bCs/>
          <w:color w:val="000000" w:themeColor="text1"/>
        </w:rPr>
      </w:pPr>
      <w:r w:rsidRPr="001B0B69">
        <w:rPr>
          <w:b/>
          <w:bCs/>
          <w:color w:val="000000" w:themeColor="text1"/>
        </w:rPr>
        <w:t>The Influence of Competency on Managerial Performance</w:t>
      </w:r>
    </w:p>
    <w:p w14:paraId="4F186822" w14:textId="2FFBA195" w:rsidR="004048A0" w:rsidRPr="001B0B69" w:rsidRDefault="004048A0" w:rsidP="004048A0">
      <w:pPr>
        <w:spacing w:line="276" w:lineRule="auto"/>
        <w:ind w:firstLine="709"/>
        <w:rPr>
          <w:color w:val="000000" w:themeColor="text1"/>
        </w:rPr>
      </w:pPr>
      <w:r w:rsidRPr="001B0B69">
        <w:rPr>
          <w:color w:val="000000" w:themeColor="text1"/>
        </w:rPr>
        <w:t>Competence statistically has no effect on managerial performance at Datu Kandang Haji Hospital. The competency variable has a t-value of 1.610 with a significance level of 0.5471. The significance value shows that it is greater than the confidence level of 0.05, so it can be concluded at a confidence level of 5% that the influence of competence on managerial performance does not have a significant effect on managerial performance</w:t>
      </w:r>
      <w:r w:rsidR="006D1B22">
        <w:rPr>
          <w:color w:val="000000" w:themeColor="text1"/>
        </w:rPr>
        <w:t xml:space="preserve"> (</w:t>
      </w:r>
      <w:r w:rsidR="006D1B22" w:rsidRPr="00222C11">
        <w:rPr>
          <w:color w:val="000000" w:themeColor="text1"/>
          <w:szCs w:val="24"/>
          <w:lang w:val="en-ID"/>
        </w:rPr>
        <w:t>Aristiani, 2019)</w:t>
      </w:r>
      <w:r w:rsidRPr="001B0B69">
        <w:rPr>
          <w:color w:val="000000" w:themeColor="text1"/>
        </w:rPr>
        <w:t xml:space="preserve">. </w:t>
      </w:r>
    </w:p>
    <w:p w14:paraId="765FC44E" w14:textId="77777777" w:rsidR="004048A0" w:rsidRPr="001B0B69" w:rsidRDefault="004048A0" w:rsidP="004048A0">
      <w:pPr>
        <w:spacing w:line="276" w:lineRule="auto"/>
        <w:ind w:firstLine="709"/>
        <w:rPr>
          <w:color w:val="000000" w:themeColor="text1"/>
        </w:rPr>
      </w:pPr>
      <w:r w:rsidRPr="001B0B69">
        <w:rPr>
          <w:color w:val="000000" w:themeColor="text1"/>
        </w:rPr>
        <w:t>This shows that Datu Kandang Haji Hospital does not consider the competence, expertise and experience possessed by the manager so that the manager's performance is less than optimal in his field both in terms of knowledge, skills and attitude. This is shown from the results of the 2024 SPM, which is not evenly distributed to managers or employees. Based on this data, only 30% of the target of 60% was met.</w:t>
      </w:r>
    </w:p>
    <w:p w14:paraId="52FACA03" w14:textId="77777777" w:rsidR="004048A0" w:rsidRPr="001B0B69" w:rsidRDefault="004048A0" w:rsidP="004048A0">
      <w:pPr>
        <w:spacing w:line="276" w:lineRule="auto"/>
        <w:ind w:firstLine="709"/>
        <w:rPr>
          <w:color w:val="000000" w:themeColor="text1"/>
        </w:rPr>
      </w:pPr>
      <w:r w:rsidRPr="001B0B69">
        <w:rPr>
          <w:color w:val="000000" w:themeColor="text1"/>
        </w:rPr>
        <w:t xml:space="preserve">Competence reflects an individual's ability to carry out tasks based on their skills and knowledge. A work attitude that is in accordance with the demands of the job is also an important factor in supporting competence. This ability demonstrates a level of skill </w:t>
      </w:r>
      <w:r w:rsidRPr="001B0B69">
        <w:rPr>
          <w:color w:val="000000" w:themeColor="text1"/>
        </w:rPr>
        <w:lastRenderedPageBreak/>
        <w:t xml:space="preserve">and knowledge that reflects professionalism in a field. Competency is the main aspect that distinguishes excellence in a particular field, ensuring quality and effectiveness in the execution of tasks. Managers at Datu Kandang Haji Hospital are generally in accordance with the competencies of their positions. A manager who should be able to speed up the completion of tasks after the specified deadline, but because the manager of Datu Kandang Haji Hospital is an average health worker, may experience some difficulties in carrying out the manager's duties in preparing the budget, one of which is the lack of special training. Many health workers are trained to focus on patient care and may not have adequate training in financial management or budgeting. </w:t>
      </w:r>
    </w:p>
    <w:p w14:paraId="7A24C1A8" w14:textId="77777777" w:rsidR="004048A0" w:rsidRPr="001B0B69" w:rsidRDefault="004048A0" w:rsidP="004048A0">
      <w:pPr>
        <w:spacing w:line="276" w:lineRule="auto"/>
        <w:ind w:firstLine="709"/>
        <w:rPr>
          <w:color w:val="000000" w:themeColor="text1"/>
        </w:rPr>
      </w:pPr>
      <w:r w:rsidRPr="001B0B69">
        <w:rPr>
          <w:color w:val="000000" w:themeColor="text1"/>
        </w:rPr>
        <w:t>A health care manager may focus more on the quality of patient care and pay less attention to financial aspects, making it difficult to balance the two. Overcoming these challenges requires proper training support, collaboration with the finance team, and the creation of an environment that allows managers to develop the necessary managerial skills. Managers in the public sector often have limitations in making decisions. If they do not have the autonomy to apply their competencies, the impact on performance can be minimal. Standardized processes and strict bureaucracy often hinder the optimal use of competencies. Managers may be stuck in inflexible procedures. Many public organizations focus more on compliance with rules and regulations than innovation. This can reduce the opportunity to use competence to the fullest. In a bureaucratic system, there is great pressure to comply with rules and regulations. This can distract managers from achieving better results and reduce the urge to use competencies creatively. Bureaucratic cultures are often resistant to change, making it difficult to implement new or innovative methods. This can be frustrating for managers who want to use their skills to improve performance.</w:t>
      </w:r>
    </w:p>
    <w:p w14:paraId="6F2651CC" w14:textId="77777777" w:rsidR="004048A0" w:rsidRPr="001B0B69" w:rsidRDefault="004048A0" w:rsidP="004048A0">
      <w:pPr>
        <w:spacing w:line="276" w:lineRule="auto"/>
        <w:ind w:firstLine="709"/>
        <w:rPr>
          <w:color w:val="000000" w:themeColor="text1"/>
        </w:rPr>
      </w:pPr>
      <w:r w:rsidRPr="001B0B69">
        <w:rPr>
          <w:color w:val="000000" w:themeColor="text1"/>
        </w:rPr>
        <w:t>High managerial competence makes managers better able to carry out their roles effectively, which is important in carrying out responsibilities as a steward. Technical and leadership competencies help managers understand and meet job demands, while interpersonal competencies and decision-making enable them to collaborate and make decisions that support organizational goals.</w:t>
      </w:r>
    </w:p>
    <w:p w14:paraId="3BE37EE7" w14:textId="307B3CC8" w:rsidR="004048A0" w:rsidRPr="001B0B69" w:rsidRDefault="004048A0" w:rsidP="004048A0">
      <w:pPr>
        <w:spacing w:line="276" w:lineRule="auto"/>
        <w:ind w:firstLine="709"/>
        <w:rPr>
          <w:color w:val="000000" w:themeColor="text1"/>
        </w:rPr>
      </w:pPr>
      <w:r w:rsidRPr="001B0B69">
        <w:rPr>
          <w:color w:val="000000" w:themeColor="text1"/>
        </w:rPr>
        <w:t xml:space="preserve">This research is in line with Pangestuti et al., (2023) who stated that competence does not have a positive effect on the managerial performance of companies that have not optimally developed the skills, knowledge, attitudes, and behaviors needed by managers to carry out their duties according to their positions so that managers can carry out their duties professionally and effectively and efficiently. This research is not in line with the research of Suryani et al., (2021) who stated that competence has a positive effect on managerial performance. High managerial competence, reflected in the skills, knowledge, and ability to receive information, convey initiatives, and receive sanctions, contributes to increased job satisfaction. This satisfaction includes aspects of salary, promotion system, relationships with colleagues, and comfort in carrying out tasks. Research conducted by Prastawa (2023) also states that competence affects the performance of village officials. That village officials who are placed on one task or job in accordance with their competencies will give rise to a motivation to bring out all the expertise or </w:t>
      </w:r>
      <w:r w:rsidRPr="001B0B69">
        <w:rPr>
          <w:color w:val="000000" w:themeColor="text1"/>
        </w:rPr>
        <w:lastRenderedPageBreak/>
        <w:t>skills they have so that they can improve performance</w:t>
      </w:r>
      <w:r w:rsidR="006D1B22">
        <w:rPr>
          <w:color w:val="000000" w:themeColor="text1"/>
        </w:rPr>
        <w:t xml:space="preserve"> (</w:t>
      </w:r>
      <w:r w:rsidR="006D1B22" w:rsidRPr="00222C11">
        <w:rPr>
          <w:color w:val="000000" w:themeColor="text1"/>
          <w:szCs w:val="24"/>
          <w:lang w:val="en-ID"/>
        </w:rPr>
        <w:t>Anisa, AS, &amp; Sumiati, NT. 2024)</w:t>
      </w:r>
      <w:r w:rsidRPr="001B0B69">
        <w:rPr>
          <w:color w:val="000000" w:themeColor="text1"/>
        </w:rPr>
        <w:t>. On the other hand, if a person is assigned to a task that is not in accordance with the expertise or skills they have, it can reduce performance. Thus, the existence of appropriate human resource competencies in job placement will give rise to motivation to bring out all one's abilities or expertise so that it has an impact on increasing performance</w:t>
      </w:r>
      <w:r w:rsidR="006D1B22">
        <w:rPr>
          <w:color w:val="000000" w:themeColor="text1"/>
        </w:rPr>
        <w:t xml:space="preserve"> (</w:t>
      </w:r>
      <w:r w:rsidR="006D1B22" w:rsidRPr="00222C11">
        <w:rPr>
          <w:color w:val="000000" w:themeColor="text1"/>
          <w:szCs w:val="24"/>
          <w:lang w:val="en-ID"/>
        </w:rPr>
        <w:t>Amna</w:t>
      </w:r>
      <w:r w:rsidR="006D1B22">
        <w:rPr>
          <w:color w:val="000000" w:themeColor="text1"/>
          <w:szCs w:val="24"/>
          <w:lang w:val="en-ID"/>
        </w:rPr>
        <w:t xml:space="preserve"> et al., </w:t>
      </w:r>
      <w:r w:rsidR="006D1B22" w:rsidRPr="00222C11">
        <w:rPr>
          <w:color w:val="000000" w:themeColor="text1"/>
          <w:szCs w:val="24"/>
          <w:lang w:val="en-ID"/>
        </w:rPr>
        <w:t>2023)</w:t>
      </w:r>
      <w:r w:rsidRPr="001B0B69">
        <w:rPr>
          <w:color w:val="000000" w:themeColor="text1"/>
        </w:rPr>
        <w:t>.</w:t>
      </w:r>
      <w:r w:rsidR="006D1B22">
        <w:rPr>
          <w:color w:val="000000" w:themeColor="text1"/>
        </w:rPr>
        <w:t xml:space="preserve"> </w:t>
      </w:r>
    </w:p>
    <w:p w14:paraId="7CBC830A" w14:textId="0A577C38" w:rsidR="008878B1" w:rsidRPr="001B0B69" w:rsidRDefault="00EE1888" w:rsidP="00CB4474">
      <w:pPr>
        <w:spacing w:line="276" w:lineRule="auto"/>
        <w:ind w:firstLine="709"/>
        <w:rPr>
          <w:color w:val="000000" w:themeColor="text1"/>
        </w:rPr>
      </w:pPr>
      <w:r w:rsidRPr="001B0B69">
        <w:rPr>
          <w:color w:val="000000" w:themeColor="text1"/>
        </w:rPr>
        <w:t xml:space="preserve"> </w:t>
      </w:r>
    </w:p>
    <w:p w14:paraId="32958E37" w14:textId="3461C269" w:rsidR="002F3099" w:rsidRPr="001B0B69" w:rsidRDefault="002F3099" w:rsidP="004435CF">
      <w:pPr>
        <w:spacing w:line="240" w:lineRule="auto"/>
        <w:jc w:val="center"/>
        <w:rPr>
          <w:rFonts w:cs="Times New Roman"/>
          <w:b/>
          <w:bCs/>
          <w:color w:val="002060"/>
        </w:rPr>
      </w:pPr>
      <w:r w:rsidRPr="001B0B69">
        <w:rPr>
          <w:rFonts w:cs="Times New Roman"/>
          <w:b/>
          <w:bCs/>
          <w:color w:val="002060"/>
        </w:rPr>
        <w:t xml:space="preserve">CONCLUSION </w:t>
      </w:r>
      <w:bookmarkEnd w:id="2"/>
    </w:p>
    <w:p w14:paraId="193FEB41" w14:textId="77777777" w:rsidR="001B0B69" w:rsidRPr="001B0B69" w:rsidRDefault="001B0B69" w:rsidP="001B0B69">
      <w:pPr>
        <w:spacing w:line="276" w:lineRule="auto"/>
        <w:ind w:firstLine="709"/>
      </w:pPr>
      <w:r w:rsidRPr="001B0B69">
        <w:t>The following is the conclusion of the results of this study: The results of statistical testing show that the first hypothesis is accepted. Involvement in the budgeting process has a significant impact on managerial performance. The lower the active role of managers in budget preparation at </w:t>
      </w:r>
      <w:r w:rsidRPr="001B0B69">
        <w:rPr>
          <w:i/>
          <w:iCs/>
        </w:rPr>
        <w:t>Datu Kandang Haji Hospital</w:t>
      </w:r>
      <w:r w:rsidRPr="001B0B69">
        <w:t>, the more managerial performance tends to decrease. The involvement of managers and budgeting staff has an important role in improving the quality of managerial performance. When managers are given the opportunity to be actively involved in the budgeting process, they tend to better understand the objectives and related aspects of the organization. It also allows them to put forward views and proposals that suit the needs of their department, so that the budget prepared is more realistic and can be implemented effectively.</w:t>
      </w:r>
    </w:p>
    <w:p w14:paraId="4430DE8D" w14:textId="77777777" w:rsidR="001B0B69" w:rsidRPr="001B0B69" w:rsidRDefault="001B0B69" w:rsidP="001B0B69">
      <w:pPr>
        <w:spacing w:line="276" w:lineRule="auto"/>
        <w:ind w:firstLine="709"/>
      </w:pPr>
      <w:r w:rsidRPr="001B0B69">
        <w:t>The results of statistical testing showed that the third hypothesis was rejected. Competence does not have a significant influence on managerial performance. A manager's motivation level does not directly determine the quality of their managerial performance. This means that the level of individual motivation does not have a significant relationship or impact on managerial performance outcomes at </w:t>
      </w:r>
      <w:r w:rsidRPr="001B0B69">
        <w:rPr>
          <w:i/>
          <w:iCs/>
        </w:rPr>
        <w:t>Datu Kandang Haji Hospital</w:t>
      </w:r>
      <w:r w:rsidRPr="001B0B69">
        <w:t>. Whether a person feels motivated or not, their level of performance tends to remain the same.</w:t>
      </w:r>
    </w:p>
    <w:p w14:paraId="21D69B12" w14:textId="77777777" w:rsidR="001B0B69" w:rsidRPr="001B0B69" w:rsidRDefault="001B0B69" w:rsidP="001B0B69">
      <w:pPr>
        <w:spacing w:line="276" w:lineRule="auto"/>
        <w:ind w:firstLine="709"/>
      </w:pPr>
      <w:r w:rsidRPr="001B0B69">
        <w:t>The results of the tests that have been carried out statistically show that the third hypothesis is rejected. This shows that competence does not have a significant influence on managerial performance. This means that the manager's level of expertise, knowledge, and ability has no significant relationship or impact on performance outcomes. How high or low a manager's competence is does not affect how well they work within the managerial scope at </w:t>
      </w:r>
      <w:r w:rsidRPr="001B0B69">
        <w:rPr>
          <w:i/>
          <w:iCs/>
        </w:rPr>
        <w:t>Datu Kandang Haji Hospital</w:t>
      </w:r>
      <w:r w:rsidRPr="001B0B69">
        <w:t>.</w:t>
      </w:r>
    </w:p>
    <w:p w14:paraId="285673AF" w14:textId="77777777" w:rsidR="00EE1888" w:rsidRPr="001B0B69" w:rsidRDefault="00EE1888" w:rsidP="000664EA">
      <w:pPr>
        <w:spacing w:line="276" w:lineRule="auto"/>
        <w:ind w:firstLine="709"/>
      </w:pPr>
    </w:p>
    <w:p w14:paraId="7BE571CE" w14:textId="242285B6" w:rsidR="00BF1BB2" w:rsidRDefault="004435CF" w:rsidP="005F278C">
      <w:pPr>
        <w:spacing w:line="276" w:lineRule="auto"/>
        <w:jc w:val="center"/>
        <w:rPr>
          <w:b/>
          <w:bCs/>
          <w:color w:val="222A35" w:themeColor="text2" w:themeShade="80"/>
        </w:rPr>
      </w:pPr>
      <w:r w:rsidRPr="001B0B69">
        <w:rPr>
          <w:b/>
          <w:bCs/>
          <w:color w:val="222A35" w:themeColor="text2" w:themeShade="80"/>
        </w:rPr>
        <w:t>REFERENCES</w:t>
      </w:r>
    </w:p>
    <w:sdt>
      <w:sdtPr>
        <w:rPr>
          <w:noProof/>
          <w:color w:val="000000" w:themeColor="text1"/>
          <w:szCs w:val="24"/>
          <w:lang w:val="pt-BR"/>
        </w:rPr>
        <w:tag w:val="MENDELEY_BIBLIOGRAPHY"/>
        <w:id w:val="-478232716"/>
        <w:placeholder>
          <w:docPart w:val="E75AE2E541294AA087D08CDEBD785A35"/>
        </w:placeholder>
      </w:sdtPr>
      <w:sdtContent>
        <w:p w14:paraId="365BEA17" w14:textId="770F7C72"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Amna, H., Anastasya, YA, &amp; Zahara, CI. (2023). Overview of support social in unmarried middle-aged women. </w:t>
          </w:r>
          <w:r w:rsidRPr="00222C11">
            <w:rPr>
              <w:i/>
              <w:iCs/>
              <w:color w:val="000000" w:themeColor="text1"/>
              <w:szCs w:val="24"/>
              <w:lang w:val="en-ID"/>
            </w:rPr>
            <w:t>Insight: Journal of Study Psychology, 1</w:t>
          </w:r>
          <w:r w:rsidRPr="00222C11">
            <w:rPr>
              <w:color w:val="000000" w:themeColor="text1"/>
              <w:szCs w:val="24"/>
              <w:lang w:val="en-ID"/>
            </w:rPr>
            <w:t>(3).</w:t>
          </w:r>
        </w:p>
        <w:p w14:paraId="7F304D4B"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Anisa, AS, &amp; Sumiati, NT. (2024). The influence of support social to optimism for children's future face to face with law (ABH) in JABODETABEK. </w:t>
          </w:r>
          <w:r w:rsidRPr="00222C11">
            <w:rPr>
              <w:i/>
              <w:iCs/>
              <w:color w:val="000000" w:themeColor="text1"/>
              <w:szCs w:val="24"/>
              <w:lang w:val="en-ID"/>
            </w:rPr>
            <w:t>Journal Prima Psychology, 7</w:t>
          </w:r>
          <w:r w:rsidRPr="00222C11">
            <w:rPr>
              <w:color w:val="000000" w:themeColor="text1"/>
              <w:szCs w:val="24"/>
              <w:lang w:val="en-ID"/>
            </w:rPr>
            <w:t>(1).</w:t>
          </w:r>
        </w:p>
        <w:p w14:paraId="7B122762"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Arifah, A. N., &amp; Azizah, L. N. (2022). Pengaruh penerapan akuntansi pertanggungjawaban, komitmen organisasi dan kompetensi terhadap kinerja manajerial. </w:t>
          </w:r>
          <w:r w:rsidRPr="00222C11">
            <w:rPr>
              <w:i/>
              <w:iCs/>
              <w:color w:val="000000" w:themeColor="text1"/>
              <w:szCs w:val="24"/>
              <w:lang w:val="en-ID"/>
            </w:rPr>
            <w:t>Dinamika: Jurnal Manajemen Sosial Ekonomi, 2</w:t>
          </w:r>
          <w:r w:rsidRPr="00222C11">
            <w:rPr>
              <w:color w:val="000000" w:themeColor="text1"/>
              <w:szCs w:val="24"/>
              <w:lang w:val="en-ID"/>
            </w:rPr>
            <w:t>(1), 49–56.</w:t>
          </w:r>
        </w:p>
        <w:p w14:paraId="027DE599"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Aristiani, I. A. M., &amp; Mimba, N. (2019). Pengaruh budgetary goal characteristics, komitmen organisasi, dan motivasi pada kinerja manajerial dengan gaya </w:t>
          </w:r>
          <w:r w:rsidRPr="00222C11">
            <w:rPr>
              <w:color w:val="000000" w:themeColor="text1"/>
              <w:szCs w:val="24"/>
              <w:lang w:val="en-ID"/>
            </w:rPr>
            <w:lastRenderedPageBreak/>
            <w:t xml:space="preserve">kepemimpinan sebagai variabel moderasi. </w:t>
          </w:r>
          <w:r w:rsidRPr="00222C11">
            <w:rPr>
              <w:i/>
              <w:iCs/>
              <w:color w:val="000000" w:themeColor="text1"/>
              <w:szCs w:val="24"/>
              <w:lang w:val="en-ID"/>
            </w:rPr>
            <w:t>E-Jurnal Akuntansi Universitas Udayana, 27</w:t>
          </w:r>
          <w:r w:rsidRPr="00222C11">
            <w:rPr>
              <w:color w:val="000000" w:themeColor="text1"/>
              <w:szCs w:val="24"/>
              <w:lang w:val="en-ID"/>
            </w:rPr>
            <w:t>(3).</w:t>
          </w:r>
        </w:p>
        <w:p w14:paraId="32DDCFF6"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Badzaly, F. N. (2021). Pengaruh penerapan total quality management, motivasi kerja dan komitmen organisasi terhadap kinerja manajerial. </w:t>
          </w:r>
          <w:r w:rsidRPr="00222C11">
            <w:rPr>
              <w:i/>
              <w:iCs/>
              <w:color w:val="000000" w:themeColor="text1"/>
              <w:szCs w:val="24"/>
              <w:lang w:val="en-ID"/>
            </w:rPr>
            <w:t>Jurnal Riset Akuntansi, 66–71</w:t>
          </w:r>
          <w:r w:rsidRPr="00222C11">
            <w:rPr>
              <w:color w:val="000000" w:themeColor="text1"/>
              <w:szCs w:val="24"/>
              <w:lang w:val="en-ID"/>
            </w:rPr>
            <w:t>.</w:t>
          </w:r>
        </w:p>
        <w:p w14:paraId="027FDEC0"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Christy, Y., Natalia, M., Setiana, S., &amp; Anthony, R. (2021). Pengaruh partisipasi anggaran terhadap kinerja manajerial dengan komitmen organisasi dan motivasi kerja sebagai variabel moderasi. </w:t>
          </w:r>
          <w:r w:rsidRPr="00222C11">
            <w:rPr>
              <w:i/>
              <w:iCs/>
              <w:color w:val="000000" w:themeColor="text1"/>
              <w:szCs w:val="24"/>
              <w:lang w:val="en-ID"/>
            </w:rPr>
            <w:t>Jurnal Nusantara Aplikasi Manajemen Bisnis, 6</w:t>
          </w:r>
          <w:r w:rsidRPr="00222C11">
            <w:rPr>
              <w:color w:val="000000" w:themeColor="text1"/>
              <w:szCs w:val="24"/>
              <w:lang w:val="en-ID"/>
            </w:rPr>
            <w:t>(2), 149–165.</w:t>
          </w:r>
        </w:p>
        <w:p w14:paraId="7E910FB6"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Djaman, S., Hasanuddin, B., &amp; Rudin, R. (2021). Pengaruh motivasi kerja, disiplin kerja dan budaya organisasi terhadap kinerja pegawai kesehatan rumah sakit umum daerah Tora Belo Kabupaten Sigi. </w:t>
          </w:r>
          <w:r w:rsidRPr="00222C11">
            <w:rPr>
              <w:i/>
              <w:iCs/>
              <w:color w:val="000000" w:themeColor="text1"/>
              <w:szCs w:val="24"/>
              <w:lang w:val="en-ID"/>
            </w:rPr>
            <w:t>JAMIN: Jurnal Aplikasi Manajemen Dan Inovasi Bisnis, 3</w:t>
          </w:r>
          <w:r w:rsidRPr="00222C11">
            <w:rPr>
              <w:color w:val="000000" w:themeColor="text1"/>
              <w:szCs w:val="24"/>
              <w:lang w:val="en-ID"/>
            </w:rPr>
            <w:t xml:space="preserve">(2), 25. </w:t>
          </w:r>
          <w:hyperlink r:id="rId12" w:tgtFrame="_new" w:history="1">
            <w:r w:rsidRPr="00222C11">
              <w:rPr>
                <w:rStyle w:val="Hyperlink"/>
                <w:color w:val="000000" w:themeColor="text1"/>
                <w:szCs w:val="24"/>
                <w:u w:val="none"/>
                <w:lang w:val="en-ID"/>
              </w:rPr>
              <w:t>https://doi.org/10.47201/jamin.v3i2.74</w:t>
            </w:r>
          </w:hyperlink>
        </w:p>
        <w:p w14:paraId="1E14C084"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Ghozali, I. (2016). </w:t>
          </w:r>
          <w:r w:rsidRPr="00222C11">
            <w:rPr>
              <w:i/>
              <w:iCs/>
              <w:color w:val="000000" w:themeColor="text1"/>
              <w:szCs w:val="24"/>
              <w:lang w:val="en-ID"/>
            </w:rPr>
            <w:t>Aplikasi analisis multivariete dengan program IBM SPSS 23: Vol. VIII</w:t>
          </w:r>
          <w:r w:rsidRPr="00222C11">
            <w:rPr>
              <w:color w:val="000000" w:themeColor="text1"/>
              <w:szCs w:val="24"/>
              <w:lang w:val="en-ID"/>
            </w:rPr>
            <w:t>. Badan Penerbit Universitas Diponegoro.</w:t>
          </w:r>
        </w:p>
        <w:p w14:paraId="1D2A5B0D"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Gitariani, N. K. D., &amp; Mimba, N. (2021). Partisipasi penyusunan anggaran, kompetensi, self-efficacy sistem pengukuran kinerja dan kinerja manajerial. </w:t>
          </w:r>
          <w:r w:rsidRPr="00222C11">
            <w:rPr>
              <w:i/>
              <w:iCs/>
              <w:color w:val="000000" w:themeColor="text1"/>
              <w:szCs w:val="24"/>
              <w:lang w:val="en-ID"/>
            </w:rPr>
            <w:t>E-Jurnal Akuntansi, 31</w:t>
          </w:r>
          <w:r w:rsidRPr="00222C11">
            <w:rPr>
              <w:color w:val="000000" w:themeColor="text1"/>
              <w:szCs w:val="24"/>
              <w:lang w:val="en-ID"/>
            </w:rPr>
            <w:t>(3), 602–614.</w:t>
          </w:r>
        </w:p>
        <w:p w14:paraId="7CF3C60E"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Hasibuan, S. M., &amp; Bahri, S. (2018). Pengaruh kepemimpinan, lingkungan kerja dan motivasi kerja terhadap kinerja. </w:t>
          </w:r>
          <w:r w:rsidRPr="00222C11">
            <w:rPr>
              <w:i/>
              <w:iCs/>
              <w:color w:val="000000" w:themeColor="text1"/>
              <w:szCs w:val="24"/>
              <w:lang w:val="en-ID"/>
            </w:rPr>
            <w:t>Maneggio: Jurnal Ilmiah Magister Manajemen, 1</w:t>
          </w:r>
          <w:r w:rsidRPr="00222C11">
            <w:rPr>
              <w:color w:val="000000" w:themeColor="text1"/>
              <w:szCs w:val="24"/>
              <w:lang w:val="en-ID"/>
            </w:rPr>
            <w:t xml:space="preserve">(1), 71–80. </w:t>
          </w:r>
          <w:hyperlink r:id="rId13" w:tgtFrame="_new" w:history="1">
            <w:r w:rsidRPr="00222C11">
              <w:rPr>
                <w:rStyle w:val="Hyperlink"/>
                <w:color w:val="000000" w:themeColor="text1"/>
                <w:szCs w:val="24"/>
                <w:u w:val="none"/>
                <w:lang w:val="en-ID"/>
              </w:rPr>
              <w:t>https://doi.org/10.30596/maneggio.v1i1.2243</w:t>
            </w:r>
          </w:hyperlink>
        </w:p>
        <w:p w14:paraId="2F01FA1A"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Nengsy, H., &amp; Yanto, A. (2019). Pengaruh komitmen organisasi dan partisipasi anggaran terhadap kinerja manajerial pada rumah sakit umum daerah di Kabupaten Indragiri Hilir. </w:t>
          </w:r>
          <w:r w:rsidRPr="00222C11">
            <w:rPr>
              <w:i/>
              <w:iCs/>
              <w:color w:val="000000" w:themeColor="text1"/>
              <w:szCs w:val="24"/>
              <w:lang w:val="en-ID"/>
            </w:rPr>
            <w:t>Jurnal Akuntansi Dan Keuangan, 8</w:t>
          </w:r>
          <w:r w:rsidRPr="00222C11">
            <w:rPr>
              <w:color w:val="000000" w:themeColor="text1"/>
              <w:szCs w:val="24"/>
              <w:lang w:val="en-ID"/>
            </w:rPr>
            <w:t>(2), 9–18.</w:t>
          </w:r>
        </w:p>
        <w:p w14:paraId="79E48A63"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Nuraini Novitasari. (2022). Pengaruh partisipasi anggaran, komitmen organisasi dan sistem pengukuran kinerja terhadap kinerja manajerial (studi empiris pada badan layanan umum daerah rumah sakit umum daerah Bangkinang).</w:t>
          </w:r>
        </w:p>
        <w:p w14:paraId="4F9DFB17"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Pangestuti, S. E., Widyarti, M. T. H., &amp; Putri, A. G. (2023). Analisis pengaruh penerapan akuntansi pertanggungjawaban, komitmen organisasi, kompetensi dan partisipasi anggaran terhadap kinerja manajerial pada PT Jaya Abadi Engineering (JAE). </w:t>
          </w:r>
          <w:r w:rsidRPr="00222C11">
            <w:rPr>
              <w:i/>
              <w:iCs/>
              <w:color w:val="000000" w:themeColor="text1"/>
              <w:szCs w:val="24"/>
              <w:lang w:val="en-ID"/>
            </w:rPr>
            <w:t>Journal of International Multidisciplinary Research, 1</w:t>
          </w:r>
          <w:r w:rsidRPr="00222C11">
            <w:rPr>
              <w:color w:val="000000" w:themeColor="text1"/>
              <w:szCs w:val="24"/>
              <w:lang w:val="en-ID"/>
            </w:rPr>
            <w:t>(2), 1074–1086.</w:t>
          </w:r>
        </w:p>
        <w:p w14:paraId="7AB67665"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Prastawa, I. P. (2023). Pengaruh kompetensi, partisipasi penyusunan anggaran, dan motivasi terhadap kinerja perangkat desa. </w:t>
          </w:r>
          <w:r w:rsidRPr="00222C11">
            <w:rPr>
              <w:i/>
              <w:iCs/>
              <w:color w:val="000000" w:themeColor="text1"/>
              <w:szCs w:val="24"/>
              <w:lang w:val="en-ID"/>
            </w:rPr>
            <w:t>Jurnal Akuntansi Dan Keuangan Kontemporer (JAKK), 6</w:t>
          </w:r>
          <w:r w:rsidRPr="00222C11">
            <w:rPr>
              <w:color w:val="000000" w:themeColor="text1"/>
              <w:szCs w:val="24"/>
              <w:lang w:val="en-ID"/>
            </w:rPr>
            <w:t>(1), 67–76.</w:t>
          </w:r>
        </w:p>
        <w:p w14:paraId="44E9071D"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Pristyadi, B., &amp; Santoso, M. R. E. (2019). Pengaruh motivasi kerja, kepemimpinan, pendidikan dan pelatihan serta kepuasan kerja terhadap kinerja karyawan tetap di rumah sakit Grha Husada. </w:t>
          </w:r>
          <w:r w:rsidRPr="00222C11">
            <w:rPr>
              <w:i/>
              <w:iCs/>
              <w:color w:val="000000" w:themeColor="text1"/>
              <w:szCs w:val="24"/>
              <w:lang w:val="en-ID"/>
            </w:rPr>
            <w:t>Jurnal Manajerial, 6</w:t>
          </w:r>
          <w:r w:rsidRPr="00222C11">
            <w:rPr>
              <w:color w:val="000000" w:themeColor="text1"/>
              <w:szCs w:val="24"/>
              <w:lang w:val="en-ID"/>
            </w:rPr>
            <w:t>(01), 25–34.</w:t>
          </w:r>
        </w:p>
        <w:p w14:paraId="3AC2B848" w14:textId="77777777" w:rsidR="00222C11" w:rsidRPr="00222C11" w:rsidRDefault="00222C11" w:rsidP="00222C11">
          <w:pPr>
            <w:spacing w:line="240" w:lineRule="auto"/>
            <w:ind w:left="709" w:hanging="709"/>
            <w:rPr>
              <w:color w:val="000000" w:themeColor="text1"/>
              <w:szCs w:val="24"/>
              <w:lang w:val="en-ID"/>
            </w:rPr>
          </w:pPr>
          <w:r w:rsidRPr="00222C11">
            <w:rPr>
              <w:color w:val="000000" w:themeColor="text1"/>
              <w:szCs w:val="24"/>
              <w:lang w:val="en-ID"/>
            </w:rPr>
            <w:t xml:space="preserve">Putra, A., Sudradjat, S., &amp; Sastra, H. (2022). Pengaruh partisipasi anggaran dan motivasi terhadap kinerja karyawan. </w:t>
          </w:r>
          <w:r w:rsidRPr="00222C11">
            <w:rPr>
              <w:i/>
              <w:iCs/>
              <w:color w:val="000000" w:themeColor="text1"/>
              <w:szCs w:val="24"/>
              <w:lang w:val="en-ID"/>
            </w:rPr>
            <w:t>Jurnal Ilmiah Akuntansi Kesatuan, 10</w:t>
          </w:r>
          <w:r w:rsidRPr="00222C11">
            <w:rPr>
              <w:color w:val="000000" w:themeColor="text1"/>
              <w:szCs w:val="24"/>
              <w:lang w:val="en-ID"/>
            </w:rPr>
            <w:t>(1), 131–140.</w:t>
          </w:r>
        </w:p>
        <w:p w14:paraId="328A11E7" w14:textId="376BAC0F" w:rsidR="00222C11" w:rsidRPr="00222C11" w:rsidRDefault="00222C11" w:rsidP="00222C11">
          <w:pPr>
            <w:spacing w:line="240" w:lineRule="auto"/>
            <w:ind w:left="709" w:hanging="709"/>
            <w:rPr>
              <w:szCs w:val="24"/>
              <w:lang w:val="en-ID"/>
            </w:rPr>
          </w:pPr>
          <w:r w:rsidRPr="00222C11">
            <w:rPr>
              <w:color w:val="000000" w:themeColor="text1"/>
              <w:szCs w:val="24"/>
              <w:lang w:val="en-ID"/>
            </w:rPr>
            <w:t xml:space="preserve">Resi, H. A., Thalib, S. B. W., &amp; Soleiman, I. D. (2021). Pengaruh partisipasi anggaran, akuntansi pertanggungjawaban dan motivasi kerja terhadap kinerja manajerial: Studi kasus pada SKPD Kabupaten Ende. </w:t>
          </w:r>
          <w:r w:rsidRPr="00222C11">
            <w:rPr>
              <w:i/>
              <w:iCs/>
              <w:color w:val="000000" w:themeColor="text1"/>
              <w:szCs w:val="24"/>
              <w:lang w:val="en-ID"/>
            </w:rPr>
            <w:t>Jurnal Riset Ilmu Akuntansi, 1</w:t>
          </w:r>
          <w:r w:rsidRPr="00222C11">
            <w:rPr>
              <w:color w:val="000000" w:themeColor="text1"/>
              <w:szCs w:val="24"/>
              <w:lang w:val="en-ID"/>
            </w:rPr>
            <w:t>(2), 40–47.</w:t>
          </w:r>
        </w:p>
      </w:sdtContent>
    </w:sdt>
    <w:p w14:paraId="183C6893" w14:textId="6B69DB7C" w:rsidR="00222294" w:rsidRPr="00093D76" w:rsidRDefault="00222294" w:rsidP="0055428A">
      <w:pPr>
        <w:widowControl w:val="0"/>
        <w:autoSpaceDE w:val="0"/>
        <w:autoSpaceDN w:val="0"/>
        <w:adjustRightInd w:val="0"/>
        <w:spacing w:line="276" w:lineRule="auto"/>
        <w:ind w:left="480" w:hanging="480"/>
        <w:rPr>
          <w:szCs w:val="24"/>
        </w:rPr>
      </w:pPr>
    </w:p>
    <w:sectPr w:rsidR="00222294" w:rsidRPr="00093D76" w:rsidSect="001B5F36">
      <w:headerReference w:type="default" r:id="rId14"/>
      <w:footerReference w:type="default" r:id="rId15"/>
      <w:footerReference w:type="first" r:id="rId16"/>
      <w:pgSz w:w="11906" w:h="16838" w:code="9"/>
      <w:pgMar w:top="1701" w:right="1701" w:bottom="1701" w:left="1701" w:header="709" w:footer="709" w:gutter="0"/>
      <w:pgNumType w:start="910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159E" w14:textId="77777777" w:rsidR="008D2B78" w:rsidRPr="001B0B69" w:rsidRDefault="008D2B78" w:rsidP="003114D8">
      <w:pPr>
        <w:spacing w:line="240" w:lineRule="auto"/>
      </w:pPr>
      <w:r w:rsidRPr="001B0B69">
        <w:separator/>
      </w:r>
    </w:p>
  </w:endnote>
  <w:endnote w:type="continuationSeparator" w:id="0">
    <w:p w14:paraId="7A014AF7" w14:textId="77777777" w:rsidR="008D2B78" w:rsidRPr="001B0B69" w:rsidRDefault="008D2B78" w:rsidP="003114D8">
      <w:pPr>
        <w:spacing w:line="240" w:lineRule="auto"/>
      </w:pPr>
      <w:r w:rsidRPr="001B0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default"/>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682071"/>
      <w:docPartObj>
        <w:docPartGallery w:val="Page Numbers (Bottom of Page)"/>
        <w:docPartUnique/>
      </w:docPartObj>
    </w:sdtPr>
    <w:sdtEndPr>
      <w:rPr>
        <w:rFonts w:cs="Times New Roman"/>
        <w:noProof/>
      </w:rPr>
    </w:sdtEndPr>
    <w:sdtContent>
      <w:p w14:paraId="251B4E55" w14:textId="65C10975" w:rsidR="001B5F36" w:rsidRPr="001B5F36" w:rsidRDefault="001B5F36" w:rsidP="001B5F36">
        <w:pPr>
          <w:pStyle w:val="Footer"/>
          <w:tabs>
            <w:tab w:val="center" w:pos="4680"/>
            <w:tab w:val="right" w:pos="9360"/>
          </w:tabs>
          <w:jc w:val="right"/>
          <w:rPr>
            <w:rFonts w:cs="Times New Roman"/>
            <w:noProof/>
          </w:rPr>
        </w:pPr>
        <w:r w:rsidRPr="00B2762B">
          <w:rPr>
            <w:rFonts w:cs="Times New Roman"/>
          </w:rPr>
          <w:fldChar w:fldCharType="begin"/>
        </w:r>
        <w:r w:rsidRPr="00B2762B">
          <w:rPr>
            <w:rFonts w:cs="Times New Roman"/>
          </w:rPr>
          <w:instrText xml:space="preserve"> PAGE   \* MERGEFORMAT </w:instrText>
        </w:r>
        <w:r w:rsidRPr="00B2762B">
          <w:rPr>
            <w:rFonts w:cs="Times New Roman"/>
          </w:rPr>
          <w:fldChar w:fldCharType="separate"/>
        </w:r>
        <w:r>
          <w:rPr>
            <w:rFonts w:cs="Times New Roman"/>
          </w:rPr>
          <w:t>9098</w:t>
        </w:r>
        <w:r w:rsidRPr="00B2762B">
          <w:rPr>
            <w:rFonts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143343"/>
      <w:docPartObj>
        <w:docPartGallery w:val="Page Numbers (Bottom of Page)"/>
        <w:docPartUnique/>
      </w:docPartObj>
    </w:sdtPr>
    <w:sdtEndPr>
      <w:rPr>
        <w:rFonts w:cs="Times New Roman"/>
        <w:noProof/>
      </w:rPr>
    </w:sdtEndPr>
    <w:sdtContent>
      <w:p w14:paraId="5D385F6F" w14:textId="09109403" w:rsidR="009E3DB1" w:rsidRPr="001B5F36" w:rsidRDefault="001B5F36" w:rsidP="001B5F36">
        <w:pPr>
          <w:pStyle w:val="Footer"/>
          <w:tabs>
            <w:tab w:val="center" w:pos="4680"/>
            <w:tab w:val="right" w:pos="9360"/>
          </w:tabs>
          <w:jc w:val="right"/>
          <w:rPr>
            <w:rFonts w:cs="Times New Roman"/>
            <w:noProof/>
          </w:rPr>
        </w:pPr>
        <w:r w:rsidRPr="00B2762B">
          <w:rPr>
            <w:rFonts w:cs="Times New Roman"/>
          </w:rPr>
          <w:fldChar w:fldCharType="begin"/>
        </w:r>
        <w:r w:rsidRPr="00B2762B">
          <w:rPr>
            <w:rFonts w:cs="Times New Roman"/>
          </w:rPr>
          <w:instrText xml:space="preserve"> PAGE   \* MERGEFORMAT </w:instrText>
        </w:r>
        <w:r w:rsidRPr="00B2762B">
          <w:rPr>
            <w:rFonts w:cs="Times New Roman"/>
          </w:rPr>
          <w:fldChar w:fldCharType="separate"/>
        </w:r>
        <w:r>
          <w:rPr>
            <w:rFonts w:cs="Times New Roman"/>
          </w:rPr>
          <w:t>9098</w:t>
        </w:r>
        <w:r w:rsidRPr="00B2762B">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5DF9" w14:textId="77777777" w:rsidR="008D2B78" w:rsidRPr="001B0B69" w:rsidRDefault="008D2B78" w:rsidP="003114D8">
      <w:pPr>
        <w:spacing w:line="240" w:lineRule="auto"/>
      </w:pPr>
      <w:r w:rsidRPr="001B0B69">
        <w:separator/>
      </w:r>
    </w:p>
  </w:footnote>
  <w:footnote w:type="continuationSeparator" w:id="0">
    <w:p w14:paraId="5E939634" w14:textId="77777777" w:rsidR="008D2B78" w:rsidRPr="001B0B69" w:rsidRDefault="008D2B78" w:rsidP="003114D8">
      <w:pPr>
        <w:spacing w:line="240" w:lineRule="auto"/>
      </w:pPr>
      <w:r w:rsidRPr="001B0B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8A8B" w14:textId="1CE2D903" w:rsidR="001B5F36" w:rsidRDefault="001B5F36">
    <w:pPr>
      <w:pStyle w:val="Header"/>
    </w:pPr>
    <w:r w:rsidRPr="001B5F36">
      <w:t>Diah Afrianti*, Kadir, Sarwani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32"/>
    <w:multiLevelType w:val="hybridMultilevel"/>
    <w:tmpl w:val="8F0C3DA0"/>
    <w:lvl w:ilvl="0" w:tplc="805E0B3E">
      <w:start w:val="1"/>
      <w:numFmt w:val="lowerLetter"/>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F8A4150"/>
    <w:multiLevelType w:val="hybridMultilevel"/>
    <w:tmpl w:val="9FAE798A"/>
    <w:lvl w:ilvl="0" w:tplc="34888C2A">
      <w:start w:val="1"/>
      <w:numFmt w:val="decimal"/>
      <w:lvlText w:val="%1."/>
      <w:lvlJc w:val="left"/>
      <w:pPr>
        <w:ind w:left="360"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10443CED"/>
    <w:multiLevelType w:val="hybridMultilevel"/>
    <w:tmpl w:val="14544F26"/>
    <w:lvl w:ilvl="0" w:tplc="FFFFFFFF">
      <w:start w:val="1"/>
      <w:numFmt w:val="decimal"/>
      <w:lvlText w:val="%1."/>
      <w:lvlJc w:val="left"/>
      <w:pPr>
        <w:ind w:left="1429" w:hanging="360"/>
      </w:pPr>
    </w:lvl>
    <w:lvl w:ilvl="1" w:tplc="3809000F">
      <w:start w:val="1"/>
      <w:numFmt w:val="decimal"/>
      <w:lvlText w:val="%2."/>
      <w:lvlJc w:val="left"/>
      <w:pPr>
        <w:ind w:left="36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12F5E5E"/>
    <w:multiLevelType w:val="hybridMultilevel"/>
    <w:tmpl w:val="7CA0A228"/>
    <w:lvl w:ilvl="0" w:tplc="E24E4850">
      <w:start w:val="1"/>
      <w:numFmt w:val="decimal"/>
      <w:lvlText w:val="%1."/>
      <w:lvlJc w:val="left"/>
      <w:pPr>
        <w:ind w:left="360"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140A0ABE"/>
    <w:multiLevelType w:val="hybridMultilevel"/>
    <w:tmpl w:val="49C22CC4"/>
    <w:lvl w:ilvl="0" w:tplc="9840518E">
      <w:start w:val="1"/>
      <w:numFmt w:val="lowerLetter"/>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15C96BA4"/>
    <w:multiLevelType w:val="hybridMultilevel"/>
    <w:tmpl w:val="8F82006E"/>
    <w:lvl w:ilvl="0" w:tplc="3809000F">
      <w:start w:val="1"/>
      <w:numFmt w:val="decimal"/>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1A6A0445"/>
    <w:multiLevelType w:val="hybridMultilevel"/>
    <w:tmpl w:val="F23C89BE"/>
    <w:lvl w:ilvl="0" w:tplc="3809000F">
      <w:start w:val="1"/>
      <w:numFmt w:val="decimal"/>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 w15:restartNumberingAfterBreak="0">
    <w:nsid w:val="1B9B4FD7"/>
    <w:multiLevelType w:val="hybridMultilevel"/>
    <w:tmpl w:val="7DE073EE"/>
    <w:lvl w:ilvl="0" w:tplc="38090019">
      <w:start w:val="1"/>
      <w:numFmt w:val="lowerLetter"/>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23081B18"/>
    <w:multiLevelType w:val="hybridMultilevel"/>
    <w:tmpl w:val="C6E82E0E"/>
    <w:lvl w:ilvl="0" w:tplc="8AC4E362">
      <w:start w:val="1"/>
      <w:numFmt w:val="decimal"/>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29F41D69"/>
    <w:multiLevelType w:val="hybridMultilevel"/>
    <w:tmpl w:val="8026CE6A"/>
    <w:lvl w:ilvl="0" w:tplc="DF3CA2A0">
      <w:start w:val="1"/>
      <w:numFmt w:val="lowerLetter"/>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15:restartNumberingAfterBreak="0">
    <w:nsid w:val="35B76AC1"/>
    <w:multiLevelType w:val="hybridMultilevel"/>
    <w:tmpl w:val="D7EACBCE"/>
    <w:lvl w:ilvl="0" w:tplc="0A662946">
      <w:start w:val="6"/>
      <w:numFmt w:val="bullet"/>
      <w:lvlText w:val="•"/>
      <w:lvlJc w:val="left"/>
      <w:pPr>
        <w:ind w:left="1441" w:hanging="732"/>
      </w:pPr>
      <w:rPr>
        <w:rFonts w:ascii="Times New Roman" w:eastAsiaTheme="minorHAnsi"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11" w15:restartNumberingAfterBreak="0">
    <w:nsid w:val="362200BD"/>
    <w:multiLevelType w:val="hybridMultilevel"/>
    <w:tmpl w:val="268C5066"/>
    <w:lvl w:ilvl="0" w:tplc="38090019">
      <w:start w:val="1"/>
      <w:numFmt w:val="lowerLetter"/>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15:restartNumberingAfterBreak="0">
    <w:nsid w:val="36F210C6"/>
    <w:multiLevelType w:val="hybridMultilevel"/>
    <w:tmpl w:val="702A72AA"/>
    <w:lvl w:ilvl="0" w:tplc="38090011">
      <w:start w:val="1"/>
      <w:numFmt w:val="decimal"/>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15:restartNumberingAfterBreak="0">
    <w:nsid w:val="388C18C7"/>
    <w:multiLevelType w:val="hybridMultilevel"/>
    <w:tmpl w:val="128A753E"/>
    <w:lvl w:ilvl="0" w:tplc="C6EE1D14">
      <w:start w:val="1"/>
      <w:numFmt w:val="decimal"/>
      <w:lvlText w:val="%1."/>
      <w:lvlJc w:val="left"/>
      <w:pPr>
        <w:ind w:left="360"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4" w15:restartNumberingAfterBreak="0">
    <w:nsid w:val="3A88275A"/>
    <w:multiLevelType w:val="hybridMultilevel"/>
    <w:tmpl w:val="A18624EC"/>
    <w:lvl w:ilvl="0" w:tplc="38090019">
      <w:start w:val="1"/>
      <w:numFmt w:val="lowerLetter"/>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5" w15:restartNumberingAfterBreak="0">
    <w:nsid w:val="3BAD0DEB"/>
    <w:multiLevelType w:val="hybridMultilevel"/>
    <w:tmpl w:val="5686B048"/>
    <w:lvl w:ilvl="0" w:tplc="3809000F">
      <w:start w:val="1"/>
      <w:numFmt w:val="decimal"/>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468762FB"/>
    <w:multiLevelType w:val="hybridMultilevel"/>
    <w:tmpl w:val="EB3C1F32"/>
    <w:lvl w:ilvl="0" w:tplc="C81200BE">
      <w:start w:val="6"/>
      <w:numFmt w:val="bullet"/>
      <w:lvlText w:val="-"/>
      <w:lvlJc w:val="left"/>
      <w:pPr>
        <w:ind w:left="1441" w:hanging="732"/>
      </w:pPr>
      <w:rPr>
        <w:rFonts w:ascii="Times New Roman" w:eastAsiaTheme="minorHAnsi"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17" w15:restartNumberingAfterBreak="0">
    <w:nsid w:val="493B18A6"/>
    <w:multiLevelType w:val="hybridMultilevel"/>
    <w:tmpl w:val="8A125068"/>
    <w:lvl w:ilvl="0" w:tplc="4594BA66">
      <w:start w:val="1"/>
      <w:numFmt w:val="decimal"/>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8" w15:restartNumberingAfterBreak="0">
    <w:nsid w:val="50B14BC4"/>
    <w:multiLevelType w:val="hybridMultilevel"/>
    <w:tmpl w:val="2DDE2004"/>
    <w:lvl w:ilvl="0" w:tplc="144880B6">
      <w:start w:val="1"/>
      <w:numFmt w:val="lowerLetter"/>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522358D8"/>
    <w:multiLevelType w:val="hybridMultilevel"/>
    <w:tmpl w:val="BDD6319E"/>
    <w:lvl w:ilvl="0" w:tplc="3FCE4CC6">
      <w:start w:val="1"/>
      <w:numFmt w:val="decimal"/>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15:restartNumberingAfterBreak="0">
    <w:nsid w:val="536B72F6"/>
    <w:multiLevelType w:val="hybridMultilevel"/>
    <w:tmpl w:val="3B00D89E"/>
    <w:lvl w:ilvl="0" w:tplc="5EB6C362">
      <w:start w:val="1"/>
      <w:numFmt w:val="lowerLetter"/>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1" w15:restartNumberingAfterBreak="0">
    <w:nsid w:val="53E0782B"/>
    <w:multiLevelType w:val="hybridMultilevel"/>
    <w:tmpl w:val="D9982AFE"/>
    <w:lvl w:ilvl="0" w:tplc="38090019">
      <w:start w:val="1"/>
      <w:numFmt w:val="lowerLetter"/>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2" w15:restartNumberingAfterBreak="0">
    <w:nsid w:val="592945D8"/>
    <w:multiLevelType w:val="hybridMultilevel"/>
    <w:tmpl w:val="7E18FD8C"/>
    <w:lvl w:ilvl="0" w:tplc="38090019">
      <w:start w:val="1"/>
      <w:numFmt w:val="lowerLetter"/>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5C061310"/>
    <w:multiLevelType w:val="hybridMultilevel"/>
    <w:tmpl w:val="FD7ADDE8"/>
    <w:lvl w:ilvl="0" w:tplc="A76C7988">
      <w:start w:val="1"/>
      <w:numFmt w:val="lowerLetter"/>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6301590F"/>
    <w:multiLevelType w:val="hybridMultilevel"/>
    <w:tmpl w:val="BAB8AA16"/>
    <w:lvl w:ilvl="0" w:tplc="38090011">
      <w:start w:val="1"/>
      <w:numFmt w:val="decimal"/>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15:restartNumberingAfterBreak="0">
    <w:nsid w:val="65715A51"/>
    <w:multiLevelType w:val="hybridMultilevel"/>
    <w:tmpl w:val="2F7C248C"/>
    <w:lvl w:ilvl="0" w:tplc="38090017">
      <w:start w:val="1"/>
      <w:numFmt w:val="lowerLetter"/>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6" w15:restartNumberingAfterBreak="0">
    <w:nsid w:val="6B7F28FB"/>
    <w:multiLevelType w:val="hybridMultilevel"/>
    <w:tmpl w:val="D626EEE6"/>
    <w:lvl w:ilvl="0" w:tplc="38090019">
      <w:start w:val="1"/>
      <w:numFmt w:val="lowerLetter"/>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7" w15:restartNumberingAfterBreak="0">
    <w:nsid w:val="6D273B68"/>
    <w:multiLevelType w:val="hybridMultilevel"/>
    <w:tmpl w:val="7F929E34"/>
    <w:lvl w:ilvl="0" w:tplc="22FEC5F2">
      <w:start w:val="4"/>
      <w:numFmt w:val="bullet"/>
      <w:lvlText w:val="-"/>
      <w:lvlJc w:val="left"/>
      <w:pPr>
        <w:ind w:left="1441" w:hanging="732"/>
      </w:pPr>
      <w:rPr>
        <w:rFonts w:ascii="Times New Roman" w:eastAsiaTheme="minorHAnsi"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28" w15:restartNumberingAfterBreak="0">
    <w:nsid w:val="6DBF01F1"/>
    <w:multiLevelType w:val="hybridMultilevel"/>
    <w:tmpl w:val="44003DDE"/>
    <w:lvl w:ilvl="0" w:tplc="7D967B86">
      <w:start w:val="1"/>
      <w:numFmt w:val="lowerLetter"/>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714D75F6"/>
    <w:multiLevelType w:val="hybridMultilevel"/>
    <w:tmpl w:val="23106A30"/>
    <w:lvl w:ilvl="0" w:tplc="89620910">
      <w:start w:val="1"/>
      <w:numFmt w:val="lowerLetter"/>
      <w:lvlText w:val="%1."/>
      <w:lvlJc w:val="left"/>
      <w:pPr>
        <w:ind w:left="1441" w:hanging="732"/>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0" w15:restartNumberingAfterBreak="0">
    <w:nsid w:val="75367126"/>
    <w:multiLevelType w:val="hybridMultilevel"/>
    <w:tmpl w:val="3D347788"/>
    <w:lvl w:ilvl="0" w:tplc="38090011">
      <w:start w:val="1"/>
      <w:numFmt w:val="decimal"/>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1" w15:restartNumberingAfterBreak="0">
    <w:nsid w:val="792979CA"/>
    <w:multiLevelType w:val="hybridMultilevel"/>
    <w:tmpl w:val="942254DA"/>
    <w:lvl w:ilvl="0" w:tplc="593A703E">
      <w:start w:val="1"/>
      <w:numFmt w:val="decimal"/>
      <w:lvlText w:val="%1."/>
      <w:lvlJc w:val="left"/>
      <w:pPr>
        <w:ind w:left="360"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2" w15:restartNumberingAfterBreak="0">
    <w:nsid w:val="79EB7732"/>
    <w:multiLevelType w:val="hybridMultilevel"/>
    <w:tmpl w:val="1CAC54BC"/>
    <w:lvl w:ilvl="0" w:tplc="38090019">
      <w:start w:val="1"/>
      <w:numFmt w:val="lowerLetter"/>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3" w15:restartNumberingAfterBreak="0">
    <w:nsid w:val="7FA93C6E"/>
    <w:multiLevelType w:val="hybridMultilevel"/>
    <w:tmpl w:val="3D6E0AF8"/>
    <w:lvl w:ilvl="0" w:tplc="38090019">
      <w:start w:val="1"/>
      <w:numFmt w:val="lowerLetter"/>
      <w:lvlText w:val="%1."/>
      <w:lvlJc w:val="left"/>
      <w:pPr>
        <w:ind w:left="360" w:hanging="360"/>
      </w:pPr>
    </w:lvl>
    <w:lvl w:ilvl="1" w:tplc="2D78DE02">
      <w:start w:val="1"/>
      <w:numFmt w:val="decimal"/>
      <w:lvlText w:val="%2."/>
      <w:lvlJc w:val="left"/>
      <w:pPr>
        <w:ind w:left="2521" w:hanging="732"/>
      </w:pPr>
      <w:rPr>
        <w:rFonts w:hint="default"/>
      </w:r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4" w15:restartNumberingAfterBreak="0">
    <w:nsid w:val="7FC16E59"/>
    <w:multiLevelType w:val="hybridMultilevel"/>
    <w:tmpl w:val="4C4422C0"/>
    <w:lvl w:ilvl="0" w:tplc="38090019">
      <w:start w:val="1"/>
      <w:numFmt w:val="lowerLetter"/>
      <w:lvlText w:val="%1."/>
      <w:lvlJc w:val="left"/>
      <w:pPr>
        <w:ind w:left="360"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1225724257">
    <w:abstractNumId w:val="31"/>
  </w:num>
  <w:num w:numId="2" w16cid:durableId="676884571">
    <w:abstractNumId w:val="5"/>
  </w:num>
  <w:num w:numId="3" w16cid:durableId="862401632">
    <w:abstractNumId w:val="19"/>
  </w:num>
  <w:num w:numId="4" w16cid:durableId="1269124009">
    <w:abstractNumId w:val="12"/>
  </w:num>
  <w:num w:numId="5" w16cid:durableId="1159736864">
    <w:abstractNumId w:val="16"/>
  </w:num>
  <w:num w:numId="6" w16cid:durableId="231814123">
    <w:abstractNumId w:val="22"/>
  </w:num>
  <w:num w:numId="7" w16cid:durableId="1029453234">
    <w:abstractNumId w:val="10"/>
  </w:num>
  <w:num w:numId="8" w16cid:durableId="31616631">
    <w:abstractNumId w:val="30"/>
  </w:num>
  <w:num w:numId="9" w16cid:durableId="1528984470">
    <w:abstractNumId w:val="17"/>
  </w:num>
  <w:num w:numId="10" w16cid:durableId="1815559656">
    <w:abstractNumId w:val="13"/>
  </w:num>
  <w:num w:numId="11" w16cid:durableId="1424183051">
    <w:abstractNumId w:val="3"/>
  </w:num>
  <w:num w:numId="12" w16cid:durableId="460810978">
    <w:abstractNumId w:val="1"/>
  </w:num>
  <w:num w:numId="13" w16cid:durableId="86003173">
    <w:abstractNumId w:val="33"/>
  </w:num>
  <w:num w:numId="14" w16cid:durableId="646085809">
    <w:abstractNumId w:val="27"/>
  </w:num>
  <w:num w:numId="15" w16cid:durableId="389617142">
    <w:abstractNumId w:val="15"/>
  </w:num>
  <w:num w:numId="16" w16cid:durableId="1528643685">
    <w:abstractNumId w:val="2"/>
  </w:num>
  <w:num w:numId="17" w16cid:durableId="2099011137">
    <w:abstractNumId w:val="6"/>
  </w:num>
  <w:num w:numId="18" w16cid:durableId="2034258606">
    <w:abstractNumId w:val="8"/>
  </w:num>
  <w:num w:numId="19" w16cid:durableId="678779906">
    <w:abstractNumId w:val="34"/>
  </w:num>
  <w:num w:numId="20" w16cid:durableId="1971008816">
    <w:abstractNumId w:val="9"/>
  </w:num>
  <w:num w:numId="21" w16cid:durableId="1407216826">
    <w:abstractNumId w:val="21"/>
  </w:num>
  <w:num w:numId="22" w16cid:durableId="1060788379">
    <w:abstractNumId w:val="20"/>
  </w:num>
  <w:num w:numId="23" w16cid:durableId="1644502760">
    <w:abstractNumId w:val="26"/>
  </w:num>
  <w:num w:numId="24" w16cid:durableId="1434517909">
    <w:abstractNumId w:val="0"/>
  </w:num>
  <w:num w:numId="25" w16cid:durableId="736829064">
    <w:abstractNumId w:val="32"/>
  </w:num>
  <w:num w:numId="26" w16cid:durableId="1166936789">
    <w:abstractNumId w:val="23"/>
  </w:num>
  <w:num w:numId="27" w16cid:durableId="2007777566">
    <w:abstractNumId w:val="14"/>
  </w:num>
  <w:num w:numId="28" w16cid:durableId="1251087732">
    <w:abstractNumId w:val="28"/>
  </w:num>
  <w:num w:numId="29" w16cid:durableId="1701082410">
    <w:abstractNumId w:val="7"/>
  </w:num>
  <w:num w:numId="30" w16cid:durableId="2020883228">
    <w:abstractNumId w:val="18"/>
  </w:num>
  <w:num w:numId="31" w16cid:durableId="605236529">
    <w:abstractNumId w:val="11"/>
  </w:num>
  <w:num w:numId="32" w16cid:durableId="1228998868">
    <w:abstractNumId w:val="29"/>
  </w:num>
  <w:num w:numId="33" w16cid:durableId="1601177237">
    <w:abstractNumId w:val="25"/>
  </w:num>
  <w:num w:numId="34" w16cid:durableId="1597135891">
    <w:abstractNumId w:val="4"/>
  </w:num>
  <w:num w:numId="35" w16cid:durableId="29598746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D8"/>
    <w:rsid w:val="00003EAB"/>
    <w:rsid w:val="0001025E"/>
    <w:rsid w:val="0001089D"/>
    <w:rsid w:val="00012DB8"/>
    <w:rsid w:val="00016012"/>
    <w:rsid w:val="000309E0"/>
    <w:rsid w:val="00060C71"/>
    <w:rsid w:val="000664EA"/>
    <w:rsid w:val="0006794A"/>
    <w:rsid w:val="00085B07"/>
    <w:rsid w:val="00093D76"/>
    <w:rsid w:val="00095E66"/>
    <w:rsid w:val="000A3D8A"/>
    <w:rsid w:val="000A5BC0"/>
    <w:rsid w:val="000B00B9"/>
    <w:rsid w:val="000C0377"/>
    <w:rsid w:val="000C69DD"/>
    <w:rsid w:val="000C7D6E"/>
    <w:rsid w:val="000F4F2A"/>
    <w:rsid w:val="000F5AED"/>
    <w:rsid w:val="000F71D1"/>
    <w:rsid w:val="000F753D"/>
    <w:rsid w:val="00107D3D"/>
    <w:rsid w:val="001112ED"/>
    <w:rsid w:val="00112821"/>
    <w:rsid w:val="001225B9"/>
    <w:rsid w:val="00136405"/>
    <w:rsid w:val="00171715"/>
    <w:rsid w:val="00175CD9"/>
    <w:rsid w:val="0018183F"/>
    <w:rsid w:val="001850DA"/>
    <w:rsid w:val="001A4D99"/>
    <w:rsid w:val="001B0B69"/>
    <w:rsid w:val="001B5F36"/>
    <w:rsid w:val="001D714A"/>
    <w:rsid w:val="001D7224"/>
    <w:rsid w:val="001E1BF1"/>
    <w:rsid w:val="001E309C"/>
    <w:rsid w:val="001E6CDD"/>
    <w:rsid w:val="001F6BED"/>
    <w:rsid w:val="00200705"/>
    <w:rsid w:val="0020160A"/>
    <w:rsid w:val="00210E9C"/>
    <w:rsid w:val="00222294"/>
    <w:rsid w:val="00222C11"/>
    <w:rsid w:val="002317CE"/>
    <w:rsid w:val="002326DC"/>
    <w:rsid w:val="00233EBC"/>
    <w:rsid w:val="002366C0"/>
    <w:rsid w:val="0024493B"/>
    <w:rsid w:val="00247711"/>
    <w:rsid w:val="0025637E"/>
    <w:rsid w:val="0026286F"/>
    <w:rsid w:val="00270C02"/>
    <w:rsid w:val="00270E8C"/>
    <w:rsid w:val="00282497"/>
    <w:rsid w:val="00290CD1"/>
    <w:rsid w:val="002A48C7"/>
    <w:rsid w:val="002B0EC5"/>
    <w:rsid w:val="002C447C"/>
    <w:rsid w:val="002D15A6"/>
    <w:rsid w:val="002D6229"/>
    <w:rsid w:val="002F15DC"/>
    <w:rsid w:val="002F3099"/>
    <w:rsid w:val="002F539A"/>
    <w:rsid w:val="00300325"/>
    <w:rsid w:val="0030445B"/>
    <w:rsid w:val="003114D8"/>
    <w:rsid w:val="00321CCB"/>
    <w:rsid w:val="00341B40"/>
    <w:rsid w:val="00354026"/>
    <w:rsid w:val="00364553"/>
    <w:rsid w:val="00375738"/>
    <w:rsid w:val="003874D7"/>
    <w:rsid w:val="00390E3B"/>
    <w:rsid w:val="003C5B09"/>
    <w:rsid w:val="003C72DA"/>
    <w:rsid w:val="003D1F44"/>
    <w:rsid w:val="003D733C"/>
    <w:rsid w:val="003E1D03"/>
    <w:rsid w:val="003E322E"/>
    <w:rsid w:val="003E725F"/>
    <w:rsid w:val="003F142E"/>
    <w:rsid w:val="003F6330"/>
    <w:rsid w:val="003F7DCC"/>
    <w:rsid w:val="004048A0"/>
    <w:rsid w:val="00424065"/>
    <w:rsid w:val="004353CA"/>
    <w:rsid w:val="0043756E"/>
    <w:rsid w:val="004435CF"/>
    <w:rsid w:val="0044366F"/>
    <w:rsid w:val="004450A1"/>
    <w:rsid w:val="00450B56"/>
    <w:rsid w:val="00470943"/>
    <w:rsid w:val="00481974"/>
    <w:rsid w:val="0048707D"/>
    <w:rsid w:val="004B05DD"/>
    <w:rsid w:val="004C259C"/>
    <w:rsid w:val="004C7901"/>
    <w:rsid w:val="004F18D7"/>
    <w:rsid w:val="00502BA8"/>
    <w:rsid w:val="005042AB"/>
    <w:rsid w:val="00522695"/>
    <w:rsid w:val="005255AF"/>
    <w:rsid w:val="0054209B"/>
    <w:rsid w:val="0055428A"/>
    <w:rsid w:val="005601E6"/>
    <w:rsid w:val="00577CDD"/>
    <w:rsid w:val="00594E1A"/>
    <w:rsid w:val="005D3713"/>
    <w:rsid w:val="005D4744"/>
    <w:rsid w:val="005D49F2"/>
    <w:rsid w:val="005F278C"/>
    <w:rsid w:val="00601776"/>
    <w:rsid w:val="0060240B"/>
    <w:rsid w:val="00605D19"/>
    <w:rsid w:val="00610669"/>
    <w:rsid w:val="00616591"/>
    <w:rsid w:val="00626697"/>
    <w:rsid w:val="006362A7"/>
    <w:rsid w:val="006463D6"/>
    <w:rsid w:val="006504DA"/>
    <w:rsid w:val="00656067"/>
    <w:rsid w:val="006637BB"/>
    <w:rsid w:val="00673551"/>
    <w:rsid w:val="006770C6"/>
    <w:rsid w:val="00683CD5"/>
    <w:rsid w:val="00686AC5"/>
    <w:rsid w:val="006B06C5"/>
    <w:rsid w:val="006B2B77"/>
    <w:rsid w:val="006B354F"/>
    <w:rsid w:val="006B447E"/>
    <w:rsid w:val="006C1B9E"/>
    <w:rsid w:val="006D1B22"/>
    <w:rsid w:val="006E19BD"/>
    <w:rsid w:val="006E64A2"/>
    <w:rsid w:val="006E796F"/>
    <w:rsid w:val="006F0F04"/>
    <w:rsid w:val="006F2D9C"/>
    <w:rsid w:val="007034CD"/>
    <w:rsid w:val="00713FAD"/>
    <w:rsid w:val="00714101"/>
    <w:rsid w:val="00717396"/>
    <w:rsid w:val="00720BB9"/>
    <w:rsid w:val="00721B9A"/>
    <w:rsid w:val="007321B2"/>
    <w:rsid w:val="007333E3"/>
    <w:rsid w:val="00741271"/>
    <w:rsid w:val="0075711F"/>
    <w:rsid w:val="00775125"/>
    <w:rsid w:val="00780E69"/>
    <w:rsid w:val="0078382C"/>
    <w:rsid w:val="00793E66"/>
    <w:rsid w:val="007B78DC"/>
    <w:rsid w:val="007C0926"/>
    <w:rsid w:val="007D0C56"/>
    <w:rsid w:val="007D4C5D"/>
    <w:rsid w:val="007E3B42"/>
    <w:rsid w:val="00803098"/>
    <w:rsid w:val="00807A8E"/>
    <w:rsid w:val="00814F04"/>
    <w:rsid w:val="00817E58"/>
    <w:rsid w:val="00827C71"/>
    <w:rsid w:val="00840367"/>
    <w:rsid w:val="00841740"/>
    <w:rsid w:val="00852D89"/>
    <w:rsid w:val="008551FA"/>
    <w:rsid w:val="00873537"/>
    <w:rsid w:val="008815C6"/>
    <w:rsid w:val="008824E4"/>
    <w:rsid w:val="008878B1"/>
    <w:rsid w:val="008A0027"/>
    <w:rsid w:val="008A289B"/>
    <w:rsid w:val="008A4FF9"/>
    <w:rsid w:val="008B3843"/>
    <w:rsid w:val="008B42E3"/>
    <w:rsid w:val="008C6903"/>
    <w:rsid w:val="008C75E4"/>
    <w:rsid w:val="008D0E7A"/>
    <w:rsid w:val="008D2B78"/>
    <w:rsid w:val="008D7B2F"/>
    <w:rsid w:val="00917040"/>
    <w:rsid w:val="00920664"/>
    <w:rsid w:val="0092634E"/>
    <w:rsid w:val="00926800"/>
    <w:rsid w:val="00931C68"/>
    <w:rsid w:val="009331EC"/>
    <w:rsid w:val="00935351"/>
    <w:rsid w:val="00950E97"/>
    <w:rsid w:val="009517A0"/>
    <w:rsid w:val="00953A7C"/>
    <w:rsid w:val="009B1CA9"/>
    <w:rsid w:val="009B2FCF"/>
    <w:rsid w:val="009C2182"/>
    <w:rsid w:val="009C2C50"/>
    <w:rsid w:val="009C31BA"/>
    <w:rsid w:val="009C3B20"/>
    <w:rsid w:val="009C4837"/>
    <w:rsid w:val="009D11FB"/>
    <w:rsid w:val="009E08BC"/>
    <w:rsid w:val="009E3DB1"/>
    <w:rsid w:val="009F6F53"/>
    <w:rsid w:val="00A102F2"/>
    <w:rsid w:val="00A13EA3"/>
    <w:rsid w:val="00A268F8"/>
    <w:rsid w:val="00A33601"/>
    <w:rsid w:val="00A34A7F"/>
    <w:rsid w:val="00A36720"/>
    <w:rsid w:val="00A43746"/>
    <w:rsid w:val="00A551A1"/>
    <w:rsid w:val="00A615B4"/>
    <w:rsid w:val="00A620BA"/>
    <w:rsid w:val="00A6540E"/>
    <w:rsid w:val="00A70D68"/>
    <w:rsid w:val="00A76F7B"/>
    <w:rsid w:val="00A81377"/>
    <w:rsid w:val="00A90769"/>
    <w:rsid w:val="00A940A0"/>
    <w:rsid w:val="00A948B5"/>
    <w:rsid w:val="00AA410B"/>
    <w:rsid w:val="00AB126C"/>
    <w:rsid w:val="00AD2EEC"/>
    <w:rsid w:val="00AF3B41"/>
    <w:rsid w:val="00AF4177"/>
    <w:rsid w:val="00B026DD"/>
    <w:rsid w:val="00B06D2C"/>
    <w:rsid w:val="00B12A41"/>
    <w:rsid w:val="00B1373E"/>
    <w:rsid w:val="00B205E7"/>
    <w:rsid w:val="00B20F56"/>
    <w:rsid w:val="00B233BB"/>
    <w:rsid w:val="00B2720B"/>
    <w:rsid w:val="00B340F0"/>
    <w:rsid w:val="00B35D37"/>
    <w:rsid w:val="00B82328"/>
    <w:rsid w:val="00B83AED"/>
    <w:rsid w:val="00B83BDE"/>
    <w:rsid w:val="00B916DD"/>
    <w:rsid w:val="00BA59B5"/>
    <w:rsid w:val="00BB1832"/>
    <w:rsid w:val="00BC0FE2"/>
    <w:rsid w:val="00BC2BC1"/>
    <w:rsid w:val="00BC3929"/>
    <w:rsid w:val="00BC412D"/>
    <w:rsid w:val="00BC6AE7"/>
    <w:rsid w:val="00BD16B4"/>
    <w:rsid w:val="00BD7FAB"/>
    <w:rsid w:val="00BF1BB2"/>
    <w:rsid w:val="00C04CCD"/>
    <w:rsid w:val="00C06A0E"/>
    <w:rsid w:val="00C07027"/>
    <w:rsid w:val="00C1609A"/>
    <w:rsid w:val="00C23A4D"/>
    <w:rsid w:val="00C25480"/>
    <w:rsid w:val="00C32EBF"/>
    <w:rsid w:val="00C3390D"/>
    <w:rsid w:val="00C436AE"/>
    <w:rsid w:val="00C62C8A"/>
    <w:rsid w:val="00C63DE9"/>
    <w:rsid w:val="00C6743D"/>
    <w:rsid w:val="00C67D7B"/>
    <w:rsid w:val="00C67EF0"/>
    <w:rsid w:val="00C75323"/>
    <w:rsid w:val="00C83C3C"/>
    <w:rsid w:val="00C95FBB"/>
    <w:rsid w:val="00CA5A70"/>
    <w:rsid w:val="00CB014D"/>
    <w:rsid w:val="00CB1216"/>
    <w:rsid w:val="00CB4474"/>
    <w:rsid w:val="00CC2ADB"/>
    <w:rsid w:val="00CC4B63"/>
    <w:rsid w:val="00CC57E1"/>
    <w:rsid w:val="00CD2590"/>
    <w:rsid w:val="00CD2923"/>
    <w:rsid w:val="00CD6BE9"/>
    <w:rsid w:val="00CF00F8"/>
    <w:rsid w:val="00CF7E0D"/>
    <w:rsid w:val="00D008B5"/>
    <w:rsid w:val="00D06D61"/>
    <w:rsid w:val="00D324E8"/>
    <w:rsid w:val="00D4132F"/>
    <w:rsid w:val="00D67CEB"/>
    <w:rsid w:val="00D73E4D"/>
    <w:rsid w:val="00D81EB0"/>
    <w:rsid w:val="00D9746B"/>
    <w:rsid w:val="00DB5BAC"/>
    <w:rsid w:val="00DC5165"/>
    <w:rsid w:val="00DD5B87"/>
    <w:rsid w:val="00DF77BC"/>
    <w:rsid w:val="00E000D3"/>
    <w:rsid w:val="00E05255"/>
    <w:rsid w:val="00E16AB8"/>
    <w:rsid w:val="00E20274"/>
    <w:rsid w:val="00E22B34"/>
    <w:rsid w:val="00E22DD8"/>
    <w:rsid w:val="00E253B7"/>
    <w:rsid w:val="00E25BC5"/>
    <w:rsid w:val="00E35AF9"/>
    <w:rsid w:val="00E5079F"/>
    <w:rsid w:val="00E555F8"/>
    <w:rsid w:val="00E75945"/>
    <w:rsid w:val="00E76782"/>
    <w:rsid w:val="00E91331"/>
    <w:rsid w:val="00E93CB0"/>
    <w:rsid w:val="00EA1FC8"/>
    <w:rsid w:val="00EB09F3"/>
    <w:rsid w:val="00EB25ED"/>
    <w:rsid w:val="00EB2F8F"/>
    <w:rsid w:val="00EC22B5"/>
    <w:rsid w:val="00EC40B1"/>
    <w:rsid w:val="00ED2255"/>
    <w:rsid w:val="00EE1888"/>
    <w:rsid w:val="00EF4B7A"/>
    <w:rsid w:val="00F008B0"/>
    <w:rsid w:val="00F0373F"/>
    <w:rsid w:val="00F046FA"/>
    <w:rsid w:val="00F04EFF"/>
    <w:rsid w:val="00F22646"/>
    <w:rsid w:val="00F245EC"/>
    <w:rsid w:val="00F35006"/>
    <w:rsid w:val="00F358B6"/>
    <w:rsid w:val="00F3729C"/>
    <w:rsid w:val="00F3766C"/>
    <w:rsid w:val="00F45C08"/>
    <w:rsid w:val="00F508A2"/>
    <w:rsid w:val="00F748D6"/>
    <w:rsid w:val="00F760A6"/>
    <w:rsid w:val="00F77DD8"/>
    <w:rsid w:val="00F83794"/>
    <w:rsid w:val="00F9532F"/>
    <w:rsid w:val="00F95E31"/>
    <w:rsid w:val="00F96CE4"/>
    <w:rsid w:val="00FA264C"/>
    <w:rsid w:val="00FB2614"/>
    <w:rsid w:val="00FB7BF9"/>
    <w:rsid w:val="00FC3EAF"/>
    <w:rsid w:val="00FC5A9E"/>
    <w:rsid w:val="00FC65B1"/>
    <w:rsid w:val="00FC7CB0"/>
    <w:rsid w:val="00FE32AF"/>
    <w:rsid w:val="00FE4338"/>
    <w:rsid w:val="00FE5C2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F0B89"/>
  <w15:chartTrackingRefBased/>
  <w15:docId w15:val="{1DC2844D-0478-4001-8D31-015E9506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AF"/>
    <w:pPr>
      <w:spacing w:after="0" w:line="360" w:lineRule="auto"/>
      <w:jc w:val="both"/>
    </w:pPr>
    <w:rPr>
      <w:rFonts w:ascii="Times New Roman" w:hAnsi="Times New Roman"/>
      <w:sz w:val="24"/>
      <w:lang w:val="en-US"/>
    </w:rPr>
  </w:style>
  <w:style w:type="paragraph" w:styleId="Heading1">
    <w:name w:val="heading 1"/>
    <w:basedOn w:val="Normal"/>
    <w:next w:val="Normal"/>
    <w:link w:val="Heading1Char"/>
    <w:uiPriority w:val="9"/>
    <w:qFormat/>
    <w:rsid w:val="005255AF"/>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D4C5D"/>
    <w:pPr>
      <w:keepNext/>
      <w:keepLines/>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B1832"/>
    <w:pPr>
      <w:keepNext/>
      <w:keepLines/>
      <w:jc w:val="left"/>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4D8"/>
    <w:pPr>
      <w:tabs>
        <w:tab w:val="center" w:pos="4513"/>
        <w:tab w:val="right" w:pos="9026"/>
      </w:tabs>
      <w:spacing w:line="240" w:lineRule="auto"/>
    </w:pPr>
  </w:style>
  <w:style w:type="character" w:customStyle="1" w:styleId="HeaderChar">
    <w:name w:val="Header Char"/>
    <w:basedOn w:val="DefaultParagraphFont"/>
    <w:link w:val="Header"/>
    <w:uiPriority w:val="99"/>
    <w:rsid w:val="003114D8"/>
  </w:style>
  <w:style w:type="paragraph" w:styleId="Footer">
    <w:name w:val="footer"/>
    <w:basedOn w:val="Normal"/>
    <w:link w:val="FooterChar"/>
    <w:uiPriority w:val="99"/>
    <w:unhideWhenUsed/>
    <w:rsid w:val="003114D8"/>
    <w:pPr>
      <w:tabs>
        <w:tab w:val="center" w:pos="4513"/>
        <w:tab w:val="right" w:pos="9026"/>
      </w:tabs>
      <w:spacing w:line="240" w:lineRule="auto"/>
    </w:pPr>
  </w:style>
  <w:style w:type="character" w:customStyle="1" w:styleId="FooterChar">
    <w:name w:val="Footer Char"/>
    <w:basedOn w:val="DefaultParagraphFont"/>
    <w:link w:val="Footer"/>
    <w:uiPriority w:val="99"/>
    <w:rsid w:val="003114D8"/>
  </w:style>
  <w:style w:type="character" w:customStyle="1" w:styleId="Heading1Char">
    <w:name w:val="Heading 1 Char"/>
    <w:basedOn w:val="DefaultParagraphFont"/>
    <w:link w:val="Heading1"/>
    <w:uiPriority w:val="9"/>
    <w:rsid w:val="005255A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D4C5D"/>
    <w:rPr>
      <w:rFonts w:ascii="Times New Roman" w:eastAsiaTheme="majorEastAsia" w:hAnsi="Times New Roman" w:cstheme="majorBidi"/>
      <w:b/>
      <w:sz w:val="24"/>
      <w:szCs w:val="26"/>
    </w:rPr>
  </w:style>
  <w:style w:type="paragraph" w:styleId="ListParagraph">
    <w:name w:val="List Paragraph"/>
    <w:aliases w:val="Heading 13,Body of text,List Paragraph1,Medium Grid 1 - Accent 21,Body of text+1,Body of text+2,Body of text+3,List Paragraph11"/>
    <w:basedOn w:val="Normal"/>
    <w:link w:val="ListParagraphChar"/>
    <w:uiPriority w:val="1"/>
    <w:qFormat/>
    <w:rsid w:val="006F2D9C"/>
    <w:pPr>
      <w:ind w:left="720"/>
      <w:contextualSpacing/>
    </w:pPr>
  </w:style>
  <w:style w:type="character" w:customStyle="1" w:styleId="Heading3Char">
    <w:name w:val="Heading 3 Char"/>
    <w:basedOn w:val="DefaultParagraphFont"/>
    <w:link w:val="Heading3"/>
    <w:uiPriority w:val="9"/>
    <w:rsid w:val="00BB1832"/>
    <w:rPr>
      <w:rFonts w:ascii="Times New Roman" w:eastAsiaTheme="majorEastAsia" w:hAnsi="Times New Roman" w:cstheme="majorBidi"/>
      <w:b/>
      <w:sz w:val="24"/>
      <w:szCs w:val="24"/>
    </w:rPr>
  </w:style>
  <w:style w:type="paragraph" w:styleId="NormalWeb">
    <w:name w:val="Normal (Web)"/>
    <w:basedOn w:val="Normal"/>
    <w:link w:val="NormalWebChar"/>
    <w:uiPriority w:val="99"/>
    <w:unhideWhenUsed/>
    <w:rsid w:val="00B83AED"/>
    <w:pPr>
      <w:spacing w:before="100" w:beforeAutospacing="1" w:after="100" w:afterAutospacing="1" w:line="240" w:lineRule="auto"/>
      <w:jc w:val="left"/>
    </w:pPr>
    <w:rPr>
      <w:rFonts w:eastAsia="Times New Roman" w:cs="Times New Roman"/>
      <w:kern w:val="0"/>
      <w:szCs w:val="24"/>
      <w:lang w:eastAsia="en-ID"/>
      <w14:ligatures w14:val="none"/>
    </w:rPr>
  </w:style>
  <w:style w:type="character" w:customStyle="1" w:styleId="katex-mathml">
    <w:name w:val="katex-mathml"/>
    <w:basedOn w:val="DefaultParagraphFont"/>
    <w:rsid w:val="00B83AED"/>
  </w:style>
  <w:style w:type="character" w:customStyle="1" w:styleId="mord">
    <w:name w:val="mord"/>
    <w:basedOn w:val="DefaultParagraphFont"/>
    <w:rsid w:val="00B83AED"/>
  </w:style>
  <w:style w:type="character" w:customStyle="1" w:styleId="vlist-s">
    <w:name w:val="vlist-s"/>
    <w:basedOn w:val="DefaultParagraphFont"/>
    <w:rsid w:val="00FE5C26"/>
  </w:style>
  <w:style w:type="character" w:customStyle="1" w:styleId="mbin">
    <w:name w:val="mbin"/>
    <w:basedOn w:val="DefaultParagraphFont"/>
    <w:rsid w:val="00FE5C26"/>
  </w:style>
  <w:style w:type="character" w:customStyle="1" w:styleId="mopen">
    <w:name w:val="mopen"/>
    <w:basedOn w:val="DefaultParagraphFont"/>
    <w:rsid w:val="00FE5C26"/>
  </w:style>
  <w:style w:type="character" w:customStyle="1" w:styleId="mpunct">
    <w:name w:val="mpunct"/>
    <w:basedOn w:val="DefaultParagraphFont"/>
    <w:rsid w:val="00FE5C26"/>
  </w:style>
  <w:style w:type="character" w:customStyle="1" w:styleId="mclose">
    <w:name w:val="mclose"/>
    <w:basedOn w:val="DefaultParagraphFont"/>
    <w:rsid w:val="00FE5C26"/>
  </w:style>
  <w:style w:type="paragraph" w:styleId="TOCHeading">
    <w:name w:val="TOC Heading"/>
    <w:basedOn w:val="Heading1"/>
    <w:next w:val="Normal"/>
    <w:uiPriority w:val="39"/>
    <w:unhideWhenUsed/>
    <w:qFormat/>
    <w:rsid w:val="00222294"/>
    <w:pPr>
      <w:spacing w:before="240"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222294"/>
    <w:pPr>
      <w:spacing w:after="100"/>
    </w:pPr>
  </w:style>
  <w:style w:type="paragraph" w:styleId="TOC2">
    <w:name w:val="toc 2"/>
    <w:basedOn w:val="Normal"/>
    <w:next w:val="Normal"/>
    <w:autoRedefine/>
    <w:uiPriority w:val="39"/>
    <w:unhideWhenUsed/>
    <w:rsid w:val="00222294"/>
    <w:pPr>
      <w:spacing w:after="100"/>
      <w:ind w:left="240"/>
    </w:pPr>
  </w:style>
  <w:style w:type="paragraph" w:styleId="TOC3">
    <w:name w:val="toc 3"/>
    <w:basedOn w:val="Normal"/>
    <w:next w:val="Normal"/>
    <w:autoRedefine/>
    <w:uiPriority w:val="39"/>
    <w:unhideWhenUsed/>
    <w:rsid w:val="00222294"/>
    <w:pPr>
      <w:spacing w:after="100"/>
      <w:ind w:left="480"/>
    </w:pPr>
  </w:style>
  <w:style w:type="character" w:styleId="Hyperlink">
    <w:name w:val="Hyperlink"/>
    <w:basedOn w:val="DefaultParagraphFont"/>
    <w:uiPriority w:val="99"/>
    <w:unhideWhenUsed/>
    <w:rsid w:val="00222294"/>
    <w:rPr>
      <w:color w:val="0563C1" w:themeColor="hyperlink"/>
      <w:u w:val="single"/>
    </w:rPr>
  </w:style>
  <w:style w:type="character" w:styleId="Strong">
    <w:name w:val="Strong"/>
    <w:basedOn w:val="DefaultParagraphFont"/>
    <w:uiPriority w:val="22"/>
    <w:qFormat/>
    <w:rsid w:val="00683CD5"/>
    <w:rPr>
      <w:b/>
      <w:bCs/>
    </w:rPr>
  </w:style>
  <w:style w:type="table" w:styleId="TableGrid">
    <w:name w:val="Table Grid"/>
    <w:basedOn w:val="TableNormal"/>
    <w:uiPriority w:val="39"/>
    <w:qFormat/>
    <w:rsid w:val="0042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2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rsid w:val="00424065"/>
    <w:rPr>
      <w:rFonts w:ascii="Courier New" w:eastAsia="Times New Roman" w:hAnsi="Courier New" w:cs="Courier New"/>
      <w:kern w:val="0"/>
      <w:sz w:val="20"/>
      <w:szCs w:val="20"/>
      <w:lang w:eastAsia="en-ID"/>
      <w14:ligatures w14:val="none"/>
    </w:rPr>
  </w:style>
  <w:style w:type="character" w:customStyle="1" w:styleId="gnd-iwgdh3b">
    <w:name w:val="gnd-iwgdh3b"/>
    <w:basedOn w:val="DefaultParagraphFont"/>
    <w:rsid w:val="00424065"/>
  </w:style>
  <w:style w:type="character" w:styleId="UnresolvedMention">
    <w:name w:val="Unresolved Mention"/>
    <w:basedOn w:val="DefaultParagraphFont"/>
    <w:uiPriority w:val="99"/>
    <w:semiHidden/>
    <w:unhideWhenUsed/>
    <w:rsid w:val="00817E58"/>
    <w:rPr>
      <w:color w:val="605E5C"/>
      <w:shd w:val="clear" w:color="auto" w:fill="E1DFDD"/>
    </w:rPr>
  </w:style>
  <w:style w:type="character" w:styleId="PlaceholderText">
    <w:name w:val="Placeholder Text"/>
    <w:basedOn w:val="DefaultParagraphFont"/>
    <w:uiPriority w:val="99"/>
    <w:semiHidden/>
    <w:rsid w:val="004435CF"/>
    <w:rPr>
      <w:color w:val="666666"/>
    </w:rPr>
  </w:style>
  <w:style w:type="table" w:styleId="LightShading">
    <w:name w:val="Light Shading"/>
    <w:basedOn w:val="TableNormal"/>
    <w:uiPriority w:val="60"/>
    <w:rsid w:val="004435CF"/>
    <w:pPr>
      <w:spacing w:after="0" w:line="240" w:lineRule="auto"/>
    </w:pPr>
    <w:rPr>
      <w:rFonts w:eastAsiaTheme="minorEastAsia"/>
      <w:color w:val="000000" w:themeColor="text1" w:themeShade="BF"/>
      <w:kern w:val="0"/>
      <w:lang w:val="id-ID"/>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semiHidden/>
    <w:unhideWhenUsed/>
    <w:rsid w:val="004435CF"/>
    <w:pPr>
      <w:spacing w:after="0" w:line="240" w:lineRule="auto"/>
    </w:pPr>
    <w:rPr>
      <w:rFonts w:ascii="Calibri" w:eastAsia="MS Mincho" w:hAnsi="Calibri" w:cs="Arial"/>
      <w:color w:val="000000"/>
      <w:kern w:val="0"/>
      <w:lang w:val="id-ID"/>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26">
    <w:name w:val="_Style 26"/>
    <w:basedOn w:val="TableNormal"/>
    <w:qFormat/>
    <w:rsid w:val="0078382C"/>
    <w:pPr>
      <w:spacing w:after="0" w:line="240" w:lineRule="auto"/>
    </w:pPr>
    <w:rPr>
      <w:rFonts w:ascii="Calibri" w:eastAsiaTheme="minorEastAsia" w:hAnsi="Calibri" w:cs="Calibri"/>
      <w:kern w:val="0"/>
      <w:sz w:val="20"/>
      <w:szCs w:val="20"/>
      <w:lang w:eastAsia="en-ID"/>
      <w14:ligatures w14:val="none"/>
    </w:rPr>
    <w:tblPr/>
  </w:style>
  <w:style w:type="paragraph" w:customStyle="1" w:styleId="TableParagraph">
    <w:name w:val="Table Paragraph"/>
    <w:basedOn w:val="Normal"/>
    <w:uiPriority w:val="1"/>
    <w:qFormat/>
    <w:rsid w:val="007B78DC"/>
    <w:pPr>
      <w:widowControl w:val="0"/>
      <w:autoSpaceDE w:val="0"/>
      <w:autoSpaceDN w:val="0"/>
      <w:spacing w:line="232" w:lineRule="exact"/>
      <w:jc w:val="center"/>
    </w:pPr>
    <w:rPr>
      <w:rFonts w:ascii="Arial MT" w:eastAsia="Arial MT" w:hAnsi="Arial MT" w:cs="Arial MT"/>
      <w:kern w:val="0"/>
      <w:sz w:val="22"/>
      <w:lang w:val="id"/>
      <w14:ligatures w14:val="none"/>
    </w:rPr>
  </w:style>
  <w:style w:type="table" w:styleId="ListTable6Colorful">
    <w:name w:val="List Table 6 Colorful"/>
    <w:basedOn w:val="TableNormal"/>
    <w:uiPriority w:val="51"/>
    <w:rsid w:val="00E5079F"/>
    <w:pPr>
      <w:spacing w:after="0" w:line="240" w:lineRule="auto"/>
    </w:pPr>
    <w:rPr>
      <w:rFonts w:ascii="Times New Roman" w:eastAsia="Times New Roman" w:hAnsi="Times New Roman" w:cs="Times New Roman"/>
      <w:color w:val="000000" w:themeColor="text1"/>
      <w:kern w:val="0"/>
      <w:sz w:val="24"/>
      <w:szCs w:val="24"/>
      <w:lang w:val="id-ID" w:eastAsia="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E555F8"/>
    <w:pPr>
      <w:widowControl w:val="0"/>
      <w:autoSpaceDE w:val="0"/>
      <w:autoSpaceDN w:val="0"/>
      <w:spacing w:line="240" w:lineRule="auto"/>
      <w:jc w:val="left"/>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E555F8"/>
    <w:rPr>
      <w:rFonts w:ascii="Times New Roman" w:eastAsia="Times New Roman" w:hAnsi="Times New Roman" w:cs="Times New Roman"/>
      <w:kern w:val="0"/>
      <w:sz w:val="24"/>
      <w:szCs w:val="24"/>
      <w:lang w:val="id"/>
      <w14:ligatures w14:val="none"/>
    </w:rPr>
  </w:style>
  <w:style w:type="paragraph" w:styleId="Caption">
    <w:name w:val="caption"/>
    <w:basedOn w:val="Normal"/>
    <w:next w:val="Normal"/>
    <w:unhideWhenUsed/>
    <w:qFormat/>
    <w:rsid w:val="00616591"/>
    <w:pPr>
      <w:spacing w:line="264" w:lineRule="auto"/>
      <w:jc w:val="center"/>
    </w:pPr>
    <w:rPr>
      <w:rFonts w:eastAsia="Times New Roman" w:cs="Times New Roman"/>
      <w:b/>
      <w:bCs/>
      <w:kern w:val="0"/>
      <w:sz w:val="20"/>
      <w:szCs w:val="20"/>
      <w:lang w:val="es-ES" w:eastAsia="en-ID"/>
      <w14:ligatures w14:val="none"/>
    </w:rPr>
  </w:style>
  <w:style w:type="table" w:styleId="PlainTable2">
    <w:name w:val="Plain Table 2"/>
    <w:basedOn w:val="TableNormal"/>
    <w:uiPriority w:val="42"/>
    <w:rsid w:val="00093D76"/>
    <w:pPr>
      <w:spacing w:after="0" w:line="240" w:lineRule="auto"/>
    </w:pPr>
    <w:rPr>
      <w:rFonts w:ascii="Calibri" w:eastAsia="Calibri" w:hAnsi="Calibri" w:cs="Calibri"/>
      <w:kern w:val="0"/>
      <w:lang w:val="es-ES" w:eastAsia="en-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Heading 13 Char,Body of text Char,List Paragraph1 Char,Medium Grid 1 - Accent 21 Char,Body of text+1 Char,Body of text+2 Char,Body of text+3 Char,List Paragraph11 Char"/>
    <w:basedOn w:val="DefaultParagraphFont"/>
    <w:link w:val="ListParagraph"/>
    <w:uiPriority w:val="1"/>
    <w:locked/>
    <w:rsid w:val="00F45C08"/>
    <w:rPr>
      <w:rFonts w:ascii="Times New Roman" w:hAnsi="Times New Roman"/>
      <w:sz w:val="24"/>
    </w:rPr>
  </w:style>
  <w:style w:type="character" w:customStyle="1" w:styleId="NormalWebChar">
    <w:name w:val="Normal (Web) Char"/>
    <w:basedOn w:val="DefaultParagraphFont"/>
    <w:link w:val="NormalWeb"/>
    <w:uiPriority w:val="99"/>
    <w:rsid w:val="00200705"/>
    <w:rPr>
      <w:rFonts w:ascii="Times New Roman" w:eastAsia="Times New Roman" w:hAnsi="Times New Roman" w:cs="Times New Roman"/>
      <w:kern w:val="0"/>
      <w:sz w:val="24"/>
      <w:szCs w:val="24"/>
      <w:lang w:eastAsia="en-ID"/>
      <w14:ligatures w14:val="none"/>
    </w:rPr>
  </w:style>
  <w:style w:type="character" w:styleId="CommentReference">
    <w:name w:val="annotation reference"/>
    <w:basedOn w:val="DefaultParagraphFont"/>
    <w:uiPriority w:val="99"/>
    <w:semiHidden/>
    <w:unhideWhenUsed/>
    <w:rsid w:val="00BD7FAB"/>
    <w:rPr>
      <w:sz w:val="16"/>
      <w:szCs w:val="16"/>
    </w:rPr>
  </w:style>
  <w:style w:type="paragraph" w:styleId="CommentText">
    <w:name w:val="annotation text"/>
    <w:basedOn w:val="Normal"/>
    <w:link w:val="CommentTextChar"/>
    <w:uiPriority w:val="99"/>
    <w:semiHidden/>
    <w:unhideWhenUsed/>
    <w:rsid w:val="00BD7FAB"/>
    <w:pPr>
      <w:spacing w:line="240" w:lineRule="auto"/>
    </w:pPr>
    <w:rPr>
      <w:sz w:val="20"/>
      <w:szCs w:val="20"/>
    </w:rPr>
  </w:style>
  <w:style w:type="character" w:customStyle="1" w:styleId="CommentTextChar">
    <w:name w:val="Comment Text Char"/>
    <w:basedOn w:val="DefaultParagraphFont"/>
    <w:link w:val="CommentText"/>
    <w:uiPriority w:val="99"/>
    <w:semiHidden/>
    <w:rsid w:val="00BD7FA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7FAB"/>
    <w:rPr>
      <w:b/>
      <w:bCs/>
    </w:rPr>
  </w:style>
  <w:style w:type="character" w:customStyle="1" w:styleId="CommentSubjectChar">
    <w:name w:val="Comment Subject Char"/>
    <w:basedOn w:val="CommentTextChar"/>
    <w:link w:val="CommentSubject"/>
    <w:uiPriority w:val="99"/>
    <w:semiHidden/>
    <w:rsid w:val="00BD7FA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5742">
      <w:bodyDiv w:val="1"/>
      <w:marLeft w:val="0"/>
      <w:marRight w:val="0"/>
      <w:marTop w:val="0"/>
      <w:marBottom w:val="0"/>
      <w:divBdr>
        <w:top w:val="none" w:sz="0" w:space="0" w:color="auto"/>
        <w:left w:val="none" w:sz="0" w:space="0" w:color="auto"/>
        <w:bottom w:val="none" w:sz="0" w:space="0" w:color="auto"/>
        <w:right w:val="none" w:sz="0" w:space="0" w:color="auto"/>
      </w:divBdr>
    </w:div>
    <w:div w:id="101607426">
      <w:bodyDiv w:val="1"/>
      <w:marLeft w:val="0"/>
      <w:marRight w:val="0"/>
      <w:marTop w:val="0"/>
      <w:marBottom w:val="0"/>
      <w:divBdr>
        <w:top w:val="none" w:sz="0" w:space="0" w:color="auto"/>
        <w:left w:val="none" w:sz="0" w:space="0" w:color="auto"/>
        <w:bottom w:val="none" w:sz="0" w:space="0" w:color="auto"/>
        <w:right w:val="none" w:sz="0" w:space="0" w:color="auto"/>
      </w:divBdr>
    </w:div>
    <w:div w:id="114061202">
      <w:bodyDiv w:val="1"/>
      <w:marLeft w:val="0"/>
      <w:marRight w:val="0"/>
      <w:marTop w:val="0"/>
      <w:marBottom w:val="0"/>
      <w:divBdr>
        <w:top w:val="none" w:sz="0" w:space="0" w:color="auto"/>
        <w:left w:val="none" w:sz="0" w:space="0" w:color="auto"/>
        <w:bottom w:val="none" w:sz="0" w:space="0" w:color="auto"/>
        <w:right w:val="none" w:sz="0" w:space="0" w:color="auto"/>
      </w:divBdr>
    </w:div>
    <w:div w:id="278531172">
      <w:bodyDiv w:val="1"/>
      <w:marLeft w:val="0"/>
      <w:marRight w:val="0"/>
      <w:marTop w:val="0"/>
      <w:marBottom w:val="0"/>
      <w:divBdr>
        <w:top w:val="none" w:sz="0" w:space="0" w:color="auto"/>
        <w:left w:val="none" w:sz="0" w:space="0" w:color="auto"/>
        <w:bottom w:val="none" w:sz="0" w:space="0" w:color="auto"/>
        <w:right w:val="none" w:sz="0" w:space="0" w:color="auto"/>
      </w:divBdr>
    </w:div>
    <w:div w:id="378865738">
      <w:bodyDiv w:val="1"/>
      <w:marLeft w:val="0"/>
      <w:marRight w:val="0"/>
      <w:marTop w:val="0"/>
      <w:marBottom w:val="0"/>
      <w:divBdr>
        <w:top w:val="none" w:sz="0" w:space="0" w:color="auto"/>
        <w:left w:val="none" w:sz="0" w:space="0" w:color="auto"/>
        <w:bottom w:val="none" w:sz="0" w:space="0" w:color="auto"/>
        <w:right w:val="none" w:sz="0" w:space="0" w:color="auto"/>
      </w:divBdr>
    </w:div>
    <w:div w:id="379280925">
      <w:bodyDiv w:val="1"/>
      <w:marLeft w:val="0"/>
      <w:marRight w:val="0"/>
      <w:marTop w:val="0"/>
      <w:marBottom w:val="0"/>
      <w:divBdr>
        <w:top w:val="none" w:sz="0" w:space="0" w:color="auto"/>
        <w:left w:val="none" w:sz="0" w:space="0" w:color="auto"/>
        <w:bottom w:val="none" w:sz="0" w:space="0" w:color="auto"/>
        <w:right w:val="none" w:sz="0" w:space="0" w:color="auto"/>
      </w:divBdr>
    </w:div>
    <w:div w:id="452211784">
      <w:bodyDiv w:val="1"/>
      <w:marLeft w:val="0"/>
      <w:marRight w:val="0"/>
      <w:marTop w:val="0"/>
      <w:marBottom w:val="0"/>
      <w:divBdr>
        <w:top w:val="none" w:sz="0" w:space="0" w:color="auto"/>
        <w:left w:val="none" w:sz="0" w:space="0" w:color="auto"/>
        <w:bottom w:val="none" w:sz="0" w:space="0" w:color="auto"/>
        <w:right w:val="none" w:sz="0" w:space="0" w:color="auto"/>
      </w:divBdr>
    </w:div>
    <w:div w:id="489176901">
      <w:bodyDiv w:val="1"/>
      <w:marLeft w:val="0"/>
      <w:marRight w:val="0"/>
      <w:marTop w:val="0"/>
      <w:marBottom w:val="0"/>
      <w:divBdr>
        <w:top w:val="none" w:sz="0" w:space="0" w:color="auto"/>
        <w:left w:val="none" w:sz="0" w:space="0" w:color="auto"/>
        <w:bottom w:val="none" w:sz="0" w:space="0" w:color="auto"/>
        <w:right w:val="none" w:sz="0" w:space="0" w:color="auto"/>
      </w:divBdr>
    </w:div>
    <w:div w:id="574359747">
      <w:bodyDiv w:val="1"/>
      <w:marLeft w:val="0"/>
      <w:marRight w:val="0"/>
      <w:marTop w:val="0"/>
      <w:marBottom w:val="0"/>
      <w:divBdr>
        <w:top w:val="none" w:sz="0" w:space="0" w:color="auto"/>
        <w:left w:val="none" w:sz="0" w:space="0" w:color="auto"/>
        <w:bottom w:val="none" w:sz="0" w:space="0" w:color="auto"/>
        <w:right w:val="none" w:sz="0" w:space="0" w:color="auto"/>
      </w:divBdr>
    </w:div>
    <w:div w:id="575624751">
      <w:bodyDiv w:val="1"/>
      <w:marLeft w:val="0"/>
      <w:marRight w:val="0"/>
      <w:marTop w:val="0"/>
      <w:marBottom w:val="0"/>
      <w:divBdr>
        <w:top w:val="none" w:sz="0" w:space="0" w:color="auto"/>
        <w:left w:val="none" w:sz="0" w:space="0" w:color="auto"/>
        <w:bottom w:val="none" w:sz="0" w:space="0" w:color="auto"/>
        <w:right w:val="none" w:sz="0" w:space="0" w:color="auto"/>
      </w:divBdr>
    </w:div>
    <w:div w:id="814033142">
      <w:bodyDiv w:val="1"/>
      <w:marLeft w:val="0"/>
      <w:marRight w:val="0"/>
      <w:marTop w:val="0"/>
      <w:marBottom w:val="0"/>
      <w:divBdr>
        <w:top w:val="none" w:sz="0" w:space="0" w:color="auto"/>
        <w:left w:val="none" w:sz="0" w:space="0" w:color="auto"/>
        <w:bottom w:val="none" w:sz="0" w:space="0" w:color="auto"/>
        <w:right w:val="none" w:sz="0" w:space="0" w:color="auto"/>
      </w:divBdr>
    </w:div>
    <w:div w:id="855118984">
      <w:bodyDiv w:val="1"/>
      <w:marLeft w:val="0"/>
      <w:marRight w:val="0"/>
      <w:marTop w:val="0"/>
      <w:marBottom w:val="0"/>
      <w:divBdr>
        <w:top w:val="none" w:sz="0" w:space="0" w:color="auto"/>
        <w:left w:val="none" w:sz="0" w:space="0" w:color="auto"/>
        <w:bottom w:val="none" w:sz="0" w:space="0" w:color="auto"/>
        <w:right w:val="none" w:sz="0" w:space="0" w:color="auto"/>
      </w:divBdr>
    </w:div>
    <w:div w:id="979655115">
      <w:bodyDiv w:val="1"/>
      <w:marLeft w:val="0"/>
      <w:marRight w:val="0"/>
      <w:marTop w:val="0"/>
      <w:marBottom w:val="0"/>
      <w:divBdr>
        <w:top w:val="none" w:sz="0" w:space="0" w:color="auto"/>
        <w:left w:val="none" w:sz="0" w:space="0" w:color="auto"/>
        <w:bottom w:val="none" w:sz="0" w:space="0" w:color="auto"/>
        <w:right w:val="none" w:sz="0" w:space="0" w:color="auto"/>
      </w:divBdr>
    </w:div>
    <w:div w:id="1297492807">
      <w:bodyDiv w:val="1"/>
      <w:marLeft w:val="0"/>
      <w:marRight w:val="0"/>
      <w:marTop w:val="0"/>
      <w:marBottom w:val="0"/>
      <w:divBdr>
        <w:top w:val="none" w:sz="0" w:space="0" w:color="auto"/>
        <w:left w:val="none" w:sz="0" w:space="0" w:color="auto"/>
        <w:bottom w:val="none" w:sz="0" w:space="0" w:color="auto"/>
        <w:right w:val="none" w:sz="0" w:space="0" w:color="auto"/>
      </w:divBdr>
    </w:div>
    <w:div w:id="1444809962">
      <w:bodyDiv w:val="1"/>
      <w:marLeft w:val="0"/>
      <w:marRight w:val="0"/>
      <w:marTop w:val="0"/>
      <w:marBottom w:val="0"/>
      <w:divBdr>
        <w:top w:val="none" w:sz="0" w:space="0" w:color="auto"/>
        <w:left w:val="none" w:sz="0" w:space="0" w:color="auto"/>
        <w:bottom w:val="none" w:sz="0" w:space="0" w:color="auto"/>
        <w:right w:val="none" w:sz="0" w:space="0" w:color="auto"/>
      </w:divBdr>
    </w:div>
    <w:div w:id="1497187231">
      <w:bodyDiv w:val="1"/>
      <w:marLeft w:val="0"/>
      <w:marRight w:val="0"/>
      <w:marTop w:val="0"/>
      <w:marBottom w:val="0"/>
      <w:divBdr>
        <w:top w:val="none" w:sz="0" w:space="0" w:color="auto"/>
        <w:left w:val="none" w:sz="0" w:space="0" w:color="auto"/>
        <w:bottom w:val="none" w:sz="0" w:space="0" w:color="auto"/>
        <w:right w:val="none" w:sz="0" w:space="0" w:color="auto"/>
      </w:divBdr>
    </w:div>
    <w:div w:id="1519390569">
      <w:bodyDiv w:val="1"/>
      <w:marLeft w:val="0"/>
      <w:marRight w:val="0"/>
      <w:marTop w:val="0"/>
      <w:marBottom w:val="0"/>
      <w:divBdr>
        <w:top w:val="none" w:sz="0" w:space="0" w:color="auto"/>
        <w:left w:val="none" w:sz="0" w:space="0" w:color="auto"/>
        <w:bottom w:val="none" w:sz="0" w:space="0" w:color="auto"/>
        <w:right w:val="none" w:sz="0" w:space="0" w:color="auto"/>
      </w:divBdr>
    </w:div>
    <w:div w:id="1519657523">
      <w:bodyDiv w:val="1"/>
      <w:marLeft w:val="0"/>
      <w:marRight w:val="0"/>
      <w:marTop w:val="0"/>
      <w:marBottom w:val="0"/>
      <w:divBdr>
        <w:top w:val="none" w:sz="0" w:space="0" w:color="auto"/>
        <w:left w:val="none" w:sz="0" w:space="0" w:color="auto"/>
        <w:bottom w:val="none" w:sz="0" w:space="0" w:color="auto"/>
        <w:right w:val="none" w:sz="0" w:space="0" w:color="auto"/>
      </w:divBdr>
    </w:div>
    <w:div w:id="1556159375">
      <w:bodyDiv w:val="1"/>
      <w:marLeft w:val="0"/>
      <w:marRight w:val="0"/>
      <w:marTop w:val="0"/>
      <w:marBottom w:val="0"/>
      <w:divBdr>
        <w:top w:val="none" w:sz="0" w:space="0" w:color="auto"/>
        <w:left w:val="none" w:sz="0" w:space="0" w:color="auto"/>
        <w:bottom w:val="none" w:sz="0" w:space="0" w:color="auto"/>
        <w:right w:val="none" w:sz="0" w:space="0" w:color="auto"/>
      </w:divBdr>
    </w:div>
    <w:div w:id="1573349065">
      <w:bodyDiv w:val="1"/>
      <w:marLeft w:val="0"/>
      <w:marRight w:val="0"/>
      <w:marTop w:val="0"/>
      <w:marBottom w:val="0"/>
      <w:divBdr>
        <w:top w:val="none" w:sz="0" w:space="0" w:color="auto"/>
        <w:left w:val="none" w:sz="0" w:space="0" w:color="auto"/>
        <w:bottom w:val="none" w:sz="0" w:space="0" w:color="auto"/>
        <w:right w:val="none" w:sz="0" w:space="0" w:color="auto"/>
      </w:divBdr>
    </w:div>
    <w:div w:id="1612399168">
      <w:bodyDiv w:val="1"/>
      <w:marLeft w:val="0"/>
      <w:marRight w:val="0"/>
      <w:marTop w:val="0"/>
      <w:marBottom w:val="0"/>
      <w:divBdr>
        <w:top w:val="none" w:sz="0" w:space="0" w:color="auto"/>
        <w:left w:val="none" w:sz="0" w:space="0" w:color="auto"/>
        <w:bottom w:val="none" w:sz="0" w:space="0" w:color="auto"/>
        <w:right w:val="none" w:sz="0" w:space="0" w:color="auto"/>
      </w:divBdr>
    </w:div>
    <w:div w:id="1653217164">
      <w:bodyDiv w:val="1"/>
      <w:marLeft w:val="0"/>
      <w:marRight w:val="0"/>
      <w:marTop w:val="0"/>
      <w:marBottom w:val="0"/>
      <w:divBdr>
        <w:top w:val="none" w:sz="0" w:space="0" w:color="auto"/>
        <w:left w:val="none" w:sz="0" w:space="0" w:color="auto"/>
        <w:bottom w:val="none" w:sz="0" w:space="0" w:color="auto"/>
        <w:right w:val="none" w:sz="0" w:space="0" w:color="auto"/>
      </w:divBdr>
    </w:div>
    <w:div w:id="1795322975">
      <w:bodyDiv w:val="1"/>
      <w:marLeft w:val="0"/>
      <w:marRight w:val="0"/>
      <w:marTop w:val="0"/>
      <w:marBottom w:val="0"/>
      <w:divBdr>
        <w:top w:val="none" w:sz="0" w:space="0" w:color="auto"/>
        <w:left w:val="none" w:sz="0" w:space="0" w:color="auto"/>
        <w:bottom w:val="none" w:sz="0" w:space="0" w:color="auto"/>
        <w:right w:val="none" w:sz="0" w:space="0" w:color="auto"/>
      </w:divBdr>
    </w:div>
    <w:div w:id="1833836545">
      <w:bodyDiv w:val="1"/>
      <w:marLeft w:val="0"/>
      <w:marRight w:val="0"/>
      <w:marTop w:val="0"/>
      <w:marBottom w:val="0"/>
      <w:divBdr>
        <w:top w:val="none" w:sz="0" w:space="0" w:color="auto"/>
        <w:left w:val="none" w:sz="0" w:space="0" w:color="auto"/>
        <w:bottom w:val="none" w:sz="0" w:space="0" w:color="auto"/>
        <w:right w:val="none" w:sz="0" w:space="0" w:color="auto"/>
      </w:divBdr>
    </w:div>
    <w:div w:id="1914705709">
      <w:bodyDiv w:val="1"/>
      <w:marLeft w:val="0"/>
      <w:marRight w:val="0"/>
      <w:marTop w:val="0"/>
      <w:marBottom w:val="0"/>
      <w:divBdr>
        <w:top w:val="none" w:sz="0" w:space="0" w:color="auto"/>
        <w:left w:val="none" w:sz="0" w:space="0" w:color="auto"/>
        <w:bottom w:val="none" w:sz="0" w:space="0" w:color="auto"/>
        <w:right w:val="none" w:sz="0" w:space="0" w:color="auto"/>
      </w:divBdr>
    </w:div>
    <w:div w:id="1919778693">
      <w:bodyDiv w:val="1"/>
      <w:marLeft w:val="0"/>
      <w:marRight w:val="0"/>
      <w:marTop w:val="0"/>
      <w:marBottom w:val="0"/>
      <w:divBdr>
        <w:top w:val="none" w:sz="0" w:space="0" w:color="auto"/>
        <w:left w:val="none" w:sz="0" w:space="0" w:color="auto"/>
        <w:bottom w:val="none" w:sz="0" w:space="0" w:color="auto"/>
        <w:right w:val="none" w:sz="0" w:space="0" w:color="auto"/>
      </w:divBdr>
    </w:div>
    <w:div w:id="1942494407">
      <w:bodyDiv w:val="1"/>
      <w:marLeft w:val="0"/>
      <w:marRight w:val="0"/>
      <w:marTop w:val="0"/>
      <w:marBottom w:val="0"/>
      <w:divBdr>
        <w:top w:val="none" w:sz="0" w:space="0" w:color="auto"/>
        <w:left w:val="none" w:sz="0" w:space="0" w:color="auto"/>
        <w:bottom w:val="none" w:sz="0" w:space="0" w:color="auto"/>
        <w:right w:val="none" w:sz="0" w:space="0" w:color="auto"/>
      </w:divBdr>
    </w:div>
    <w:div w:id="1971202087">
      <w:bodyDiv w:val="1"/>
      <w:marLeft w:val="0"/>
      <w:marRight w:val="0"/>
      <w:marTop w:val="0"/>
      <w:marBottom w:val="0"/>
      <w:divBdr>
        <w:top w:val="none" w:sz="0" w:space="0" w:color="auto"/>
        <w:left w:val="none" w:sz="0" w:space="0" w:color="auto"/>
        <w:bottom w:val="none" w:sz="0" w:space="0" w:color="auto"/>
        <w:right w:val="none" w:sz="0" w:space="0" w:color="auto"/>
      </w:divBdr>
    </w:div>
    <w:div w:id="2024281843">
      <w:bodyDiv w:val="1"/>
      <w:marLeft w:val="0"/>
      <w:marRight w:val="0"/>
      <w:marTop w:val="0"/>
      <w:marBottom w:val="0"/>
      <w:divBdr>
        <w:top w:val="none" w:sz="0" w:space="0" w:color="auto"/>
        <w:left w:val="none" w:sz="0" w:space="0" w:color="auto"/>
        <w:bottom w:val="none" w:sz="0" w:space="0" w:color="auto"/>
        <w:right w:val="none" w:sz="0" w:space="0" w:color="auto"/>
      </w:divBdr>
    </w:div>
    <w:div w:id="2060518373">
      <w:bodyDiv w:val="1"/>
      <w:marLeft w:val="0"/>
      <w:marRight w:val="0"/>
      <w:marTop w:val="0"/>
      <w:marBottom w:val="0"/>
      <w:divBdr>
        <w:top w:val="none" w:sz="0" w:space="0" w:color="auto"/>
        <w:left w:val="none" w:sz="0" w:space="0" w:color="auto"/>
        <w:bottom w:val="none" w:sz="0" w:space="0" w:color="auto"/>
        <w:right w:val="none" w:sz="0" w:space="0" w:color="auto"/>
      </w:divBdr>
    </w:div>
    <w:div w:id="21297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0596/maneggio.v1i1.2243"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7201/jamin.v3i2.7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ains.greenvest.co.id/index.php/sosain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5AE2E541294AA087D08CDEBD785A35"/>
        <w:category>
          <w:name w:val="General"/>
          <w:gallery w:val="placeholder"/>
        </w:category>
        <w:types>
          <w:type w:val="bbPlcHdr"/>
        </w:types>
        <w:behaviors>
          <w:behavior w:val="content"/>
        </w:behaviors>
        <w:guid w:val="{1A0BD2CC-613F-428C-B283-10C53EFD3CAB}"/>
      </w:docPartPr>
      <w:docPartBody>
        <w:p w:rsidR="00E024C2" w:rsidRDefault="00C238E1" w:rsidP="00C238E1">
          <w:pPr>
            <w:pStyle w:val="E75AE2E541294AA087D08CDEBD785A35"/>
          </w:pPr>
          <w:r w:rsidRPr="005A0D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default"/>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E1"/>
    <w:rsid w:val="0006435C"/>
    <w:rsid w:val="00280DD3"/>
    <w:rsid w:val="007218E7"/>
    <w:rsid w:val="00827C71"/>
    <w:rsid w:val="00A36720"/>
    <w:rsid w:val="00C1609A"/>
    <w:rsid w:val="00C238E1"/>
    <w:rsid w:val="00E024C2"/>
    <w:rsid w:val="00ED352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8E1"/>
    <w:rPr>
      <w:color w:val="666666"/>
    </w:rPr>
  </w:style>
  <w:style w:type="paragraph" w:customStyle="1" w:styleId="E75AE2E541294AA087D08CDEBD785A35">
    <w:name w:val="E75AE2E541294AA087D08CDEBD785A35"/>
    <w:rsid w:val="00C23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13A8-C013-45B5-9CA6-C5A33684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19</Pages>
  <Words>7624</Words>
  <Characters>47047</Characters>
  <Application>Microsoft Office Word</Application>
  <DocSecurity>0</DocSecurity>
  <Lines>771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Suci Liana</dc:creator>
  <cp:keywords/>
  <dc:description/>
  <cp:lastModifiedBy>Abi Surya Wijaya</cp:lastModifiedBy>
  <cp:revision>15</cp:revision>
  <dcterms:created xsi:type="dcterms:W3CDTF">2025-06-02T04:42:00Z</dcterms:created>
  <dcterms:modified xsi:type="dcterms:W3CDTF">2025-07-07T14:50:00Z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http://www.zotero.org/styles/eurointervention</vt:lpwstr>
  </property>
  <property fmtid="{D5CDD505-2E9C-101B-9397-08002B2CF9AE}" pid="5" name="Mendeley Recent Style Name 1_1">
    <vt:lpwstr>EuroIntervention</vt:lpwstr>
  </property>
  <property fmtid="{D5CDD505-2E9C-101B-9397-08002B2CF9AE}" pid="6" name="Mendeley Recent Style Id 2_1">
    <vt:lpwstr>http://www.zotero.org/styles/harvard-its-surabaya</vt:lpwstr>
  </property>
  <property fmtid="{D5CDD505-2E9C-101B-9397-08002B2CF9AE}" pid="7" name="Mendeley Recent Style Name 2_1">
    <vt:lpwstr>Harvard - ITS Surabaya</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http://www.zotero.org/styles/national-library-of-medicine</vt:lpwstr>
  </property>
  <property fmtid="{D5CDD505-2E9C-101B-9397-08002B2CF9AE}" pid="11" name="Mendeley Recent Style Name 4_1">
    <vt:lpwstr>National Library of Medicine</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http://www.zotero.org/styles/springer-basic-author-date</vt:lpwstr>
  </property>
  <property fmtid="{D5CDD505-2E9C-101B-9397-08002B2CF9AE}" pid="15" name="Mendeley Recent Style Name 6_1">
    <vt:lpwstr>Springer - Basic (author-date)</vt:lpwstr>
  </property>
  <property fmtid="{D5CDD505-2E9C-101B-9397-08002B2CF9AE}" pid="16" name="Mendeley Recent Style Id 7_1">
    <vt:lpwstr>http://www.zotero.org/styles/springer-science-reviews</vt:lpwstr>
  </property>
  <property fmtid="{D5CDD505-2E9C-101B-9397-08002B2CF9AE}" pid="17" name="Mendeley Recent Style Name 7_1">
    <vt:lpwstr>Springer Science Reviews</vt:lpwstr>
  </property>
  <property fmtid="{D5CDD505-2E9C-101B-9397-08002B2CF9AE}" pid="18" name="Mendeley Recent Style Id 8_1">
    <vt:lpwstr>http://www.zotero.org/styles/springerplus</vt:lpwstr>
  </property>
  <property fmtid="{D5CDD505-2E9C-101B-9397-08002B2CF9AE}" pid="19" name="Mendeley Recent Style Name 8_1">
    <vt:lpwstr>SpringerPlus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dba485eb-c0b3-3725-a89d-49dafe517daa</vt:lpwstr>
  </property>
  <property fmtid="{D5CDD505-2E9C-101B-9397-08002B2CF9AE}" pid="24" name="Mendeley Citation Style_1">
    <vt:lpwstr>http://www.zotero.org/styles/apa</vt:lpwstr>
  </property>
  <property fmtid="{D5CDD505-2E9C-101B-9397-08002B2CF9AE}" pid="25" name="MTWinEqns">
    <vt:bool>true</vt:bool>
  </property>
  <property fmtid="{D5CDD505-2E9C-101B-9397-08002B2CF9AE}" pid="26" name="GrammarlyDocumentId">
    <vt:lpwstr>047d9182cd567d90c334800643c572428f987a867c119bf19408e3c8a7463866</vt:lpwstr>
  </property>
</Properties>
</file>