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7" w:type="dxa"/>
        <w:tblInd w:w="-993" w:type="dxa"/>
        <w:tblBorders>
          <w:top w:val="single" w:sz="8" w:space="0" w:color="000000"/>
          <w:bottom w:val="single" w:sz="8" w:space="0" w:color="000000"/>
        </w:tblBorders>
        <w:tblLayout w:type="fixed"/>
        <w:tblLook w:val="04A0" w:firstRow="1" w:lastRow="0" w:firstColumn="1" w:lastColumn="0" w:noHBand="0" w:noVBand="1"/>
      </w:tblPr>
      <w:tblGrid>
        <w:gridCol w:w="9357"/>
      </w:tblGrid>
      <w:tr w:rsidR="001E6F74" w:rsidRPr="009525BC" w14:paraId="4A9B82C9" w14:textId="77777777" w:rsidTr="00A429AB">
        <w:trPr>
          <w:trHeight w:val="1241"/>
        </w:trPr>
        <w:tc>
          <w:tcPr>
            <w:tcW w:w="9357" w:type="dxa"/>
            <w:tcBorders>
              <w:top w:val="nil"/>
              <w:left w:val="nil"/>
              <w:bottom w:val="single" w:sz="18" w:space="0" w:color="002060"/>
              <w:right w:val="nil"/>
            </w:tcBorders>
            <w:vAlign w:val="center"/>
          </w:tcPr>
          <w:p w14:paraId="4A4BD61F" w14:textId="77777777" w:rsidR="001E6F74" w:rsidRPr="009525BC" w:rsidRDefault="00C93F56" w:rsidP="00F23C59">
            <w:pPr>
              <w:pBdr>
                <w:top w:val="nil"/>
                <w:left w:val="nil"/>
                <w:bottom w:val="nil"/>
                <w:right w:val="nil"/>
                <w:between w:val="nil"/>
              </w:pBdr>
              <w:tabs>
                <w:tab w:val="center" w:pos="4513"/>
                <w:tab w:val="right" w:pos="9026"/>
                <w:tab w:val="center" w:pos="4320"/>
              </w:tabs>
              <w:spacing w:after="0" w:line="240" w:lineRule="auto"/>
              <w:rPr>
                <w:rFonts w:ascii="Cambria Math" w:eastAsia="Cambria Math" w:hAnsi="Cambria Math" w:cs="Cambria Math"/>
                <w:b/>
                <w:color w:val="002060"/>
                <w:sz w:val="24"/>
                <w:szCs w:val="24"/>
              </w:rPr>
            </w:pPr>
            <w:r w:rsidRPr="009525BC">
              <w:rPr>
                <w:noProof/>
              </w:rPr>
              <w:drawing>
                <wp:anchor distT="0" distB="0" distL="114300" distR="114300" simplePos="0" relativeHeight="251656704" behindDoc="0" locked="0" layoutInCell="1" allowOverlap="1" wp14:anchorId="696F7CAE" wp14:editId="57F6ADFB">
                  <wp:simplePos x="0" y="0"/>
                  <wp:positionH relativeFrom="column">
                    <wp:posOffset>-49530</wp:posOffset>
                  </wp:positionH>
                  <wp:positionV relativeFrom="paragraph">
                    <wp:posOffset>13970</wp:posOffset>
                  </wp:positionV>
                  <wp:extent cx="1990725" cy="857250"/>
                  <wp:effectExtent l="0" t="0" r="0" b="0"/>
                  <wp:wrapSquare wrapText="bothSides"/>
                  <wp:docPr id="13722029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23F33" w14:textId="77777777" w:rsidR="001E6F74" w:rsidRPr="009525BC" w:rsidRDefault="00000000" w:rsidP="00F23C59">
            <w:pPr>
              <w:pBdr>
                <w:top w:val="nil"/>
                <w:left w:val="nil"/>
                <w:bottom w:val="nil"/>
                <w:right w:val="nil"/>
                <w:between w:val="nil"/>
              </w:pBdr>
              <w:tabs>
                <w:tab w:val="center" w:pos="4513"/>
                <w:tab w:val="right" w:pos="9026"/>
                <w:tab w:val="center" w:pos="4320"/>
              </w:tabs>
              <w:spacing w:after="0" w:line="240" w:lineRule="auto"/>
              <w:rPr>
                <w:rFonts w:ascii="Times New Roman" w:eastAsia="Times New Roman" w:hAnsi="Times New Roman" w:cs="Times New Roman"/>
                <w:b/>
                <w:color w:val="000000"/>
                <w:sz w:val="24"/>
                <w:szCs w:val="24"/>
              </w:rPr>
            </w:pPr>
            <w:r w:rsidRPr="009525BC">
              <w:rPr>
                <w:rFonts w:ascii="Cambria Math" w:eastAsia="Cambria Math" w:hAnsi="Cambria Math" w:cs="Cambria Math"/>
                <w:color w:val="002060"/>
                <w:sz w:val="24"/>
                <w:szCs w:val="24"/>
              </w:rPr>
              <w:t>Eduvest – Journal of Universal Studies</w:t>
            </w:r>
          </w:p>
          <w:p w14:paraId="061F5C80" w14:textId="71E002CF" w:rsidR="001E6F74" w:rsidRPr="009525BC" w:rsidRDefault="00000000" w:rsidP="00F23C59">
            <w:pPr>
              <w:pBdr>
                <w:top w:val="nil"/>
                <w:left w:val="nil"/>
                <w:bottom w:val="nil"/>
                <w:right w:val="nil"/>
                <w:between w:val="nil"/>
              </w:pBdr>
              <w:tabs>
                <w:tab w:val="center" w:pos="4513"/>
                <w:tab w:val="right" w:pos="9026"/>
                <w:tab w:val="center" w:pos="4320"/>
              </w:tabs>
              <w:spacing w:after="0" w:line="240" w:lineRule="auto"/>
              <w:rPr>
                <w:rFonts w:ascii="Cambria Math" w:eastAsia="Cambria Math" w:hAnsi="Cambria Math" w:cs="Cambria Math"/>
                <w:b/>
                <w:color w:val="002060"/>
                <w:sz w:val="24"/>
                <w:szCs w:val="24"/>
              </w:rPr>
            </w:pPr>
            <w:r w:rsidRPr="009525BC">
              <w:rPr>
                <w:rFonts w:ascii="Cambria Math" w:eastAsia="Cambria Math" w:hAnsi="Cambria Math" w:cs="Cambria Math"/>
                <w:color w:val="002060"/>
                <w:sz w:val="24"/>
                <w:szCs w:val="24"/>
              </w:rPr>
              <w:t xml:space="preserve">Volume 5 Number </w:t>
            </w:r>
            <w:r w:rsidR="00070BBF">
              <w:rPr>
                <w:rFonts w:ascii="Cambria Math" w:eastAsia="Cambria Math" w:hAnsi="Cambria Math" w:cs="Cambria Math"/>
                <w:color w:val="002060"/>
                <w:sz w:val="24"/>
                <w:szCs w:val="24"/>
              </w:rPr>
              <w:t>7</w:t>
            </w:r>
            <w:r w:rsidRPr="009525BC">
              <w:rPr>
                <w:rFonts w:ascii="Cambria Math" w:eastAsia="Cambria Math" w:hAnsi="Cambria Math" w:cs="Cambria Math"/>
                <w:color w:val="002060"/>
                <w:sz w:val="24"/>
                <w:szCs w:val="24"/>
              </w:rPr>
              <w:t>, J</w:t>
            </w:r>
            <w:r w:rsidR="00070BBF">
              <w:rPr>
                <w:rFonts w:ascii="Cambria Math" w:eastAsia="Cambria Math" w:hAnsi="Cambria Math" w:cs="Cambria Math"/>
                <w:color w:val="002060"/>
                <w:sz w:val="24"/>
                <w:szCs w:val="24"/>
              </w:rPr>
              <w:t>ul</w:t>
            </w:r>
            <w:r w:rsidRPr="009525BC">
              <w:rPr>
                <w:rFonts w:ascii="Cambria Math" w:eastAsia="Cambria Math" w:hAnsi="Cambria Math" w:cs="Cambria Math"/>
                <w:color w:val="002060"/>
                <w:sz w:val="24"/>
                <w:szCs w:val="24"/>
              </w:rPr>
              <w:t>y, 2025</w:t>
            </w:r>
          </w:p>
          <w:p w14:paraId="7C2C4D39" w14:textId="77777777" w:rsidR="001E6F74" w:rsidRPr="009525BC" w:rsidRDefault="00000000" w:rsidP="00F23C59">
            <w:pPr>
              <w:pBdr>
                <w:top w:val="nil"/>
                <w:left w:val="nil"/>
                <w:bottom w:val="nil"/>
                <w:right w:val="nil"/>
                <w:between w:val="nil"/>
              </w:pBdr>
              <w:tabs>
                <w:tab w:val="center" w:pos="4513"/>
                <w:tab w:val="right" w:pos="9026"/>
              </w:tabs>
              <w:spacing w:after="0" w:line="240" w:lineRule="auto"/>
              <w:ind w:right="-6"/>
              <w:rPr>
                <w:rFonts w:ascii="Cambria Math" w:eastAsia="Cambria Math" w:hAnsi="Cambria Math" w:cs="Cambria Math"/>
                <w:b/>
                <w:color w:val="002060"/>
                <w:sz w:val="24"/>
                <w:szCs w:val="24"/>
              </w:rPr>
            </w:pPr>
            <w:r w:rsidRPr="009525BC">
              <w:rPr>
                <w:rFonts w:ascii="Cambria Math" w:eastAsia="Cambria Math" w:hAnsi="Cambria Math" w:cs="Cambria Math"/>
                <w:color w:val="002060"/>
                <w:sz w:val="24"/>
                <w:szCs w:val="24"/>
              </w:rPr>
              <w:t>p- ISSN 2775-3735</w:t>
            </w:r>
            <w:hyperlink r:id="rId10">
              <w:r w:rsidR="001E6F74" w:rsidRPr="009525BC">
                <w:rPr>
                  <w:rFonts w:ascii="Cambria Math" w:eastAsia="Cambria Math" w:hAnsi="Cambria Math" w:cs="Cambria Math"/>
                  <w:color w:val="002060"/>
                  <w:sz w:val="24"/>
                  <w:szCs w:val="24"/>
                </w:rPr>
                <w:t>-</w:t>
              </w:r>
            </w:hyperlink>
            <w:r w:rsidRPr="009525BC">
              <w:rPr>
                <w:rFonts w:ascii="Cambria Math" w:eastAsia="Cambria Math" w:hAnsi="Cambria Math" w:cs="Cambria Math"/>
                <w:color w:val="002060"/>
                <w:sz w:val="24"/>
                <w:szCs w:val="24"/>
              </w:rPr>
              <w:t>e-ISSN 2775-3727</w:t>
            </w:r>
          </w:p>
        </w:tc>
      </w:tr>
      <w:tr w:rsidR="001E6F74" w:rsidRPr="009525BC" w14:paraId="3C08EF75" w14:textId="77777777" w:rsidTr="00A429AB">
        <w:tc>
          <w:tcPr>
            <w:tcW w:w="9357" w:type="dxa"/>
            <w:tcBorders>
              <w:top w:val="nil"/>
              <w:left w:val="nil"/>
              <w:right w:val="nil"/>
            </w:tcBorders>
          </w:tcPr>
          <w:p w14:paraId="4AF53542" w14:textId="77777777" w:rsidR="001E6F74" w:rsidRPr="009525BC" w:rsidRDefault="001E6F74" w:rsidP="00F23C59">
            <w:pPr>
              <w:spacing w:after="0" w:line="240" w:lineRule="auto"/>
              <w:rPr>
                <w:rFonts w:ascii="Times New Roman" w:eastAsia="Times New Roman" w:hAnsi="Times New Roman" w:cs="Times New Roman"/>
                <w:b/>
                <w:color w:val="000000"/>
                <w:sz w:val="28"/>
                <w:szCs w:val="28"/>
              </w:rPr>
            </w:pPr>
          </w:p>
        </w:tc>
      </w:tr>
      <w:tr w:rsidR="001E6F74" w:rsidRPr="009525BC" w14:paraId="3794441E" w14:textId="77777777" w:rsidTr="00A429AB">
        <w:trPr>
          <w:trHeight w:val="519"/>
        </w:trPr>
        <w:tc>
          <w:tcPr>
            <w:tcW w:w="9357" w:type="dxa"/>
            <w:tcBorders>
              <w:bottom w:val="single" w:sz="18" w:space="0" w:color="FFFFFF"/>
            </w:tcBorders>
          </w:tcPr>
          <w:p w14:paraId="3DD7241C" w14:textId="77777777" w:rsidR="001E6F74" w:rsidRPr="009525BC" w:rsidRDefault="00474A2F" w:rsidP="00F23C59">
            <w:pPr>
              <w:spacing w:after="0" w:line="240" w:lineRule="auto"/>
              <w:jc w:val="center"/>
              <w:rPr>
                <w:rFonts w:ascii="Arial Rounded" w:eastAsia="Arial Rounded" w:hAnsi="Arial Rounded" w:cs="Arial Rounded"/>
                <w:b/>
                <w:color w:val="002060"/>
                <w:sz w:val="28"/>
                <w:szCs w:val="28"/>
              </w:rPr>
            </w:pPr>
            <w:r w:rsidRPr="009525BC">
              <w:rPr>
                <w:rFonts w:ascii="Arial Rounded" w:eastAsia="Arial Rounded" w:hAnsi="Arial Rounded" w:cs="Arial Rounded"/>
                <w:b/>
                <w:color w:val="002060"/>
                <w:sz w:val="28"/>
                <w:szCs w:val="28"/>
              </w:rPr>
              <w:t>Optimizing Employee Work Productivity Through Increasing Motivation and Work Experience</w:t>
            </w:r>
          </w:p>
          <w:p w14:paraId="01912064" w14:textId="77777777" w:rsidR="00474A2F" w:rsidRPr="009525BC" w:rsidRDefault="00474A2F" w:rsidP="00F23C59">
            <w:pPr>
              <w:spacing w:after="0" w:line="240" w:lineRule="auto"/>
              <w:jc w:val="center"/>
              <w:rPr>
                <w:rFonts w:ascii="Times New Roman" w:eastAsia="Times New Roman" w:hAnsi="Times New Roman" w:cs="Times New Roman"/>
                <w:b/>
                <w:i/>
                <w:color w:val="000000"/>
                <w:sz w:val="28"/>
                <w:szCs w:val="28"/>
              </w:rPr>
            </w:pPr>
          </w:p>
        </w:tc>
      </w:tr>
      <w:tr w:rsidR="001E6F74" w:rsidRPr="009525BC" w14:paraId="386CA735" w14:textId="77777777" w:rsidTr="00A429AB">
        <w:tc>
          <w:tcPr>
            <w:tcW w:w="9357" w:type="dxa"/>
            <w:tcBorders>
              <w:top w:val="single" w:sz="18" w:space="0" w:color="FFFFFF"/>
              <w:left w:val="nil"/>
              <w:bottom w:val="single" w:sz="18" w:space="0" w:color="002060"/>
              <w:right w:val="nil"/>
            </w:tcBorders>
          </w:tcPr>
          <w:p w14:paraId="55FBD023" w14:textId="07B0D440" w:rsidR="001E6F74" w:rsidRPr="009525BC" w:rsidRDefault="00646B60" w:rsidP="00F23C59">
            <w:pPr>
              <w:spacing w:after="0" w:line="240" w:lineRule="auto"/>
              <w:rPr>
                <w:rFonts w:ascii="Cambria Math" w:eastAsia="Cambria Math" w:hAnsi="Cambria Math" w:cs="Cambria Math"/>
                <w:b/>
                <w:color w:val="000000"/>
                <w:sz w:val="24"/>
                <w:szCs w:val="24"/>
              </w:rPr>
            </w:pPr>
            <w:r w:rsidRPr="00646B60">
              <w:rPr>
                <w:rFonts w:ascii="Cambria Math" w:eastAsia="Cambria Math" w:hAnsi="Cambria Math" w:cs="Cambria Math"/>
                <w:b/>
                <w:bCs/>
                <w:color w:val="000000"/>
                <w:sz w:val="24"/>
                <w:szCs w:val="24"/>
              </w:rPr>
              <w:t xml:space="preserve">Agus Setiadi, Yohanes </w:t>
            </w:r>
            <w:proofErr w:type="spellStart"/>
            <w:r w:rsidRPr="00646B60">
              <w:rPr>
                <w:rFonts w:ascii="Cambria Math" w:eastAsia="Cambria Math" w:hAnsi="Cambria Math" w:cs="Cambria Math"/>
                <w:b/>
                <w:bCs/>
                <w:color w:val="000000"/>
                <w:sz w:val="24"/>
                <w:szCs w:val="24"/>
              </w:rPr>
              <w:t>Sulistyadi</w:t>
            </w:r>
            <w:proofErr w:type="spellEnd"/>
            <w:r w:rsidRPr="00646B60">
              <w:rPr>
                <w:rFonts w:ascii="Cambria Math" w:eastAsia="Cambria Math" w:hAnsi="Cambria Math" w:cs="Cambria Math"/>
                <w:b/>
                <w:bCs/>
                <w:color w:val="000000"/>
                <w:sz w:val="24"/>
                <w:szCs w:val="24"/>
              </w:rPr>
              <w:t xml:space="preserve">, Ramon </w:t>
            </w:r>
            <w:proofErr w:type="spellStart"/>
            <w:r w:rsidRPr="00646B60">
              <w:rPr>
                <w:rFonts w:ascii="Cambria Math" w:eastAsia="Cambria Math" w:hAnsi="Cambria Math" w:cs="Cambria Math"/>
                <w:b/>
                <w:bCs/>
                <w:color w:val="000000"/>
                <w:sz w:val="24"/>
                <w:szCs w:val="24"/>
              </w:rPr>
              <w:t>Hurdawaty</w:t>
            </w:r>
            <w:proofErr w:type="spellEnd"/>
            <w:r w:rsidRPr="00646B60">
              <w:rPr>
                <w:rFonts w:ascii="Cambria Math" w:eastAsia="Cambria Math" w:hAnsi="Cambria Math" w:cs="Cambria Math"/>
                <w:b/>
                <w:color w:val="000000"/>
                <w:sz w:val="24"/>
                <w:szCs w:val="24"/>
              </w:rPr>
              <w:br/>
            </w:r>
            <w:proofErr w:type="spellStart"/>
            <w:r w:rsidRPr="00646B60">
              <w:rPr>
                <w:rFonts w:ascii="Cambria Math" w:eastAsia="Cambria Math" w:hAnsi="Cambria Math" w:cs="Cambria Math"/>
                <w:b/>
                <w:color w:val="000000"/>
                <w:sz w:val="24"/>
                <w:szCs w:val="24"/>
              </w:rPr>
              <w:t>Politeknik</w:t>
            </w:r>
            <w:proofErr w:type="spellEnd"/>
            <w:r w:rsidRPr="00646B60">
              <w:rPr>
                <w:rFonts w:ascii="Cambria Math" w:eastAsia="Cambria Math" w:hAnsi="Cambria Math" w:cs="Cambria Math"/>
                <w:b/>
                <w:color w:val="000000"/>
                <w:sz w:val="24"/>
                <w:szCs w:val="24"/>
              </w:rPr>
              <w:t xml:space="preserve"> </w:t>
            </w:r>
            <w:proofErr w:type="spellStart"/>
            <w:r w:rsidRPr="00646B60">
              <w:rPr>
                <w:rFonts w:ascii="Cambria Math" w:eastAsia="Cambria Math" w:hAnsi="Cambria Math" w:cs="Cambria Math"/>
                <w:b/>
                <w:color w:val="000000"/>
                <w:sz w:val="24"/>
                <w:szCs w:val="24"/>
              </w:rPr>
              <w:t>Pariwisata</w:t>
            </w:r>
            <w:proofErr w:type="spellEnd"/>
            <w:r w:rsidRPr="00646B60">
              <w:rPr>
                <w:rFonts w:ascii="Cambria Math" w:eastAsia="Cambria Math" w:hAnsi="Cambria Math" w:cs="Cambria Math"/>
                <w:b/>
                <w:color w:val="000000"/>
                <w:sz w:val="24"/>
                <w:szCs w:val="24"/>
              </w:rPr>
              <w:t xml:space="preserve"> Sahid, Jakarta, Indonesia</w:t>
            </w:r>
            <w:r w:rsidRPr="00646B60">
              <w:rPr>
                <w:rFonts w:ascii="Cambria Math" w:eastAsia="Cambria Math" w:hAnsi="Cambria Math" w:cs="Cambria Math"/>
                <w:b/>
                <w:color w:val="000000"/>
                <w:sz w:val="24"/>
                <w:szCs w:val="24"/>
              </w:rPr>
              <w:br/>
              <w:t>Email: agusbinar@gmail.com, sulistyadiyohanes@gmail.com, ramon.hurdawaty@gmail.com</w:t>
            </w:r>
          </w:p>
        </w:tc>
      </w:tr>
    </w:tbl>
    <w:p w14:paraId="3B576396" w14:textId="77777777" w:rsidR="00AA3964" w:rsidRPr="009525BC" w:rsidRDefault="00AA3964" w:rsidP="00F23C59">
      <w:pPr>
        <w:spacing w:after="0" w:line="240" w:lineRule="auto"/>
        <w:rPr>
          <w:vanish/>
        </w:rPr>
      </w:pPr>
    </w:p>
    <w:tbl>
      <w:tblPr>
        <w:tblW w:w="7785" w:type="dxa"/>
        <w:tblInd w:w="150" w:type="dxa"/>
        <w:tblBorders>
          <w:top w:val="single" w:sz="8" w:space="0" w:color="000000"/>
          <w:bottom w:val="single" w:sz="8" w:space="0" w:color="000000"/>
        </w:tblBorders>
        <w:tblLayout w:type="fixed"/>
        <w:tblLook w:val="04A0" w:firstRow="1" w:lastRow="0" w:firstColumn="1" w:lastColumn="0" w:noHBand="0" w:noVBand="1"/>
      </w:tblPr>
      <w:tblGrid>
        <w:gridCol w:w="1545"/>
        <w:gridCol w:w="6240"/>
      </w:tblGrid>
      <w:tr w:rsidR="001E6F74" w:rsidRPr="009525BC" w14:paraId="2DA7D2BA" w14:textId="77777777" w:rsidTr="00AA3964">
        <w:tc>
          <w:tcPr>
            <w:tcW w:w="7785" w:type="dxa"/>
            <w:gridSpan w:val="2"/>
            <w:tcBorders>
              <w:top w:val="nil"/>
              <w:left w:val="nil"/>
              <w:bottom w:val="single" w:sz="18" w:space="0" w:color="002060"/>
              <w:right w:val="nil"/>
            </w:tcBorders>
          </w:tcPr>
          <w:p w14:paraId="22944856" w14:textId="77777777" w:rsidR="001E6F74" w:rsidRPr="009525BC" w:rsidRDefault="00000000" w:rsidP="00F23C59">
            <w:pPr>
              <w:spacing w:after="0" w:line="240" w:lineRule="auto"/>
              <w:jc w:val="center"/>
              <w:rPr>
                <w:rFonts w:ascii="Cambria Math" w:eastAsia="Cambria Math" w:hAnsi="Cambria Math" w:cs="Cambria Math"/>
                <w:b/>
                <w:color w:val="000000"/>
                <w:sz w:val="24"/>
                <w:szCs w:val="24"/>
              </w:rPr>
            </w:pPr>
            <w:r w:rsidRPr="009525BC">
              <w:rPr>
                <w:b/>
                <w:color w:val="002060"/>
                <w:sz w:val="24"/>
                <w:szCs w:val="24"/>
              </w:rPr>
              <w:t>ABSTRACT</w:t>
            </w:r>
          </w:p>
        </w:tc>
      </w:tr>
      <w:tr w:rsidR="001E6F74" w:rsidRPr="009525BC" w14:paraId="6D0F9426" w14:textId="77777777" w:rsidTr="00AA3964">
        <w:tc>
          <w:tcPr>
            <w:tcW w:w="7785" w:type="dxa"/>
            <w:gridSpan w:val="2"/>
            <w:tcBorders>
              <w:top w:val="single" w:sz="18" w:space="0" w:color="002060"/>
              <w:left w:val="nil"/>
              <w:bottom w:val="single" w:sz="18" w:space="0" w:color="002060"/>
              <w:right w:val="nil"/>
            </w:tcBorders>
            <w:shd w:val="clear" w:color="auto" w:fill="F2F2F2"/>
          </w:tcPr>
          <w:p w14:paraId="1A4BE7FD" w14:textId="77777777" w:rsidR="001E6F74" w:rsidRPr="009525BC" w:rsidRDefault="00000000" w:rsidP="00F23C59">
            <w:pPr>
              <w:shd w:val="clear" w:color="auto" w:fill="D9D9D9"/>
              <w:spacing w:after="0" w:line="240" w:lineRule="auto"/>
              <w:jc w:val="both"/>
              <w:rPr>
                <w:b/>
                <w:i/>
                <w:color w:val="000000"/>
              </w:rPr>
            </w:pPr>
            <w:r w:rsidRPr="009525BC">
              <w:rPr>
                <w:i/>
                <w:color w:val="000000"/>
              </w:rPr>
              <w:t>This study aims to identify and analyze the effect of work motivation and work experience on employee productivity at Anak Garuda Shop in Batu City. The research was conducted using an explanatory quantitative approach, with a survey method through a questionnaire. The population consisted of 103 employees, using the census method. The data obtained was analyzed by multiple linear regression and classical statistical tests to verify the relationship between variables. The results showed that: (1) work motivation has a positive and significant effect on employee productivity, (2) work experience also has a positive and significant effect on employee productivity, (3) simultaneously, the two variables have a significant influence on employee productivity, with a contribution of 51.4%. Internal motivation factors, such as management communication, and external, such as community recognition, are the main drivers. Meanwhile, work experience, both from tenure in the company and similar fields, is proven to improve the efficiency and quality of employee work. This research recommends relevant training to enhance work experience and a humanistic communication approach to maintain employee motivation.</w:t>
            </w:r>
          </w:p>
        </w:tc>
      </w:tr>
      <w:tr w:rsidR="001E6F74" w:rsidRPr="009525BC" w14:paraId="2D714D3D" w14:textId="77777777" w:rsidTr="00AA3964">
        <w:trPr>
          <w:trHeight w:val="195"/>
        </w:trPr>
        <w:tc>
          <w:tcPr>
            <w:tcW w:w="1545" w:type="dxa"/>
            <w:tcBorders>
              <w:top w:val="single" w:sz="18" w:space="0" w:color="002060"/>
              <w:left w:val="nil"/>
              <w:bottom w:val="single" w:sz="18" w:space="0" w:color="002060"/>
              <w:right w:val="nil"/>
            </w:tcBorders>
          </w:tcPr>
          <w:p w14:paraId="09B35B56" w14:textId="77777777" w:rsidR="001E6F74" w:rsidRPr="009525BC" w:rsidRDefault="00000000" w:rsidP="00F23C59">
            <w:pPr>
              <w:spacing w:after="0" w:line="240" w:lineRule="auto"/>
              <w:rPr>
                <w:rFonts w:ascii="Cambria Math" w:eastAsia="Cambria Math" w:hAnsi="Cambria Math" w:cs="Cambria Math"/>
                <w:b/>
                <w:color w:val="000000"/>
              </w:rPr>
            </w:pPr>
            <w:r w:rsidRPr="009525BC">
              <w:rPr>
                <w:b/>
                <w:color w:val="002060"/>
              </w:rPr>
              <w:t>KEYWORDS</w:t>
            </w:r>
          </w:p>
        </w:tc>
        <w:tc>
          <w:tcPr>
            <w:tcW w:w="6240" w:type="dxa"/>
            <w:tcBorders>
              <w:top w:val="single" w:sz="18" w:space="0" w:color="002060"/>
              <w:left w:val="nil"/>
              <w:bottom w:val="single" w:sz="18" w:space="0" w:color="002060"/>
              <w:right w:val="nil"/>
            </w:tcBorders>
            <w:shd w:val="clear" w:color="auto" w:fill="F2F2F2"/>
          </w:tcPr>
          <w:p w14:paraId="40C3AA83" w14:textId="77777777" w:rsidR="001E6F74" w:rsidRPr="009525BC" w:rsidRDefault="00000000" w:rsidP="00F23C59">
            <w:pPr>
              <w:tabs>
                <w:tab w:val="left" w:pos="220"/>
                <w:tab w:val="left" w:pos="720"/>
              </w:tabs>
              <w:spacing w:after="0" w:line="240" w:lineRule="auto"/>
              <w:jc w:val="both"/>
              <w:rPr>
                <w:i/>
                <w:color w:val="191919"/>
              </w:rPr>
            </w:pPr>
            <w:r w:rsidRPr="009525BC">
              <w:rPr>
                <w:i/>
                <w:color w:val="191919"/>
              </w:rPr>
              <w:t>Work Productivity, Work Motivation, Work Experience, Employees, Garuda Shop Children.</w:t>
            </w:r>
          </w:p>
        </w:tc>
      </w:tr>
      <w:tr w:rsidR="001E6F74" w:rsidRPr="009525BC" w14:paraId="32F17989" w14:textId="77777777" w:rsidTr="00AA3964">
        <w:tc>
          <w:tcPr>
            <w:tcW w:w="1545" w:type="dxa"/>
            <w:tcBorders>
              <w:top w:val="single" w:sz="18" w:space="0" w:color="002060"/>
              <w:left w:val="nil"/>
              <w:bottom w:val="single" w:sz="18" w:space="0" w:color="002060"/>
              <w:right w:val="nil"/>
            </w:tcBorders>
          </w:tcPr>
          <w:p w14:paraId="6EACFB58" w14:textId="77777777" w:rsidR="001E6F74" w:rsidRPr="009525BC" w:rsidRDefault="00C93F56" w:rsidP="00F23C59">
            <w:pPr>
              <w:spacing w:after="0" w:line="240" w:lineRule="auto"/>
              <w:rPr>
                <w:rFonts w:ascii="Cambria Math" w:eastAsia="Cambria Math" w:hAnsi="Cambria Math" w:cs="Cambria Math"/>
                <w:b/>
                <w:color w:val="002060"/>
              </w:rPr>
            </w:pPr>
            <w:r w:rsidRPr="009525BC">
              <w:rPr>
                <w:noProof/>
              </w:rPr>
              <w:drawing>
                <wp:anchor distT="0" distB="0" distL="114300" distR="114300" simplePos="0" relativeHeight="251658752" behindDoc="0" locked="0" layoutInCell="1" allowOverlap="1" wp14:anchorId="5F29A335" wp14:editId="5B670158">
                  <wp:simplePos x="0" y="0"/>
                  <wp:positionH relativeFrom="column">
                    <wp:posOffset>-68580</wp:posOffset>
                  </wp:positionH>
                  <wp:positionV relativeFrom="paragraph">
                    <wp:posOffset>-16510</wp:posOffset>
                  </wp:positionV>
                  <wp:extent cx="899160" cy="357505"/>
                  <wp:effectExtent l="0" t="0" r="0" b="0"/>
                  <wp:wrapNone/>
                  <wp:docPr id="27556139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357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40" w:type="dxa"/>
            <w:tcBorders>
              <w:top w:val="single" w:sz="18" w:space="0" w:color="002060"/>
              <w:left w:val="nil"/>
              <w:bottom w:val="single" w:sz="18" w:space="0" w:color="002060"/>
              <w:right w:val="nil"/>
            </w:tcBorders>
          </w:tcPr>
          <w:p w14:paraId="7D33452B" w14:textId="77777777" w:rsidR="001E6F74" w:rsidRPr="009525BC" w:rsidRDefault="00000000" w:rsidP="00F23C59">
            <w:pPr>
              <w:spacing w:after="0" w:line="240" w:lineRule="auto"/>
              <w:jc w:val="both"/>
              <w:rPr>
                <w:rFonts w:ascii="Cambria Math" w:eastAsia="Cambria Math" w:hAnsi="Cambria Math" w:cs="Cambria Math"/>
                <w:b/>
                <w:i/>
                <w:color w:val="002060"/>
                <w:sz w:val="24"/>
                <w:szCs w:val="24"/>
              </w:rPr>
            </w:pPr>
            <w:r w:rsidRPr="009525BC">
              <w:rPr>
                <w:b/>
                <w:i/>
                <w:color w:val="002060"/>
                <w:sz w:val="24"/>
                <w:szCs w:val="24"/>
              </w:rPr>
              <w:t>This work is licensed under a Creative Commons Attribution-ShareAlike 4.0 International</w:t>
            </w:r>
          </w:p>
        </w:tc>
      </w:tr>
    </w:tbl>
    <w:p w14:paraId="74D03A6F" w14:textId="77777777" w:rsidR="001E6F74" w:rsidRPr="009525BC" w:rsidRDefault="001E6F74" w:rsidP="00F23C59">
      <w:pPr>
        <w:spacing w:after="0" w:line="240" w:lineRule="auto"/>
        <w:jc w:val="both"/>
        <w:rPr>
          <w:rFonts w:ascii="Times New Roman" w:eastAsia="Times New Roman" w:hAnsi="Times New Roman" w:cs="Times New Roman"/>
          <w:b/>
          <w:sz w:val="24"/>
          <w:szCs w:val="24"/>
        </w:rPr>
      </w:pPr>
    </w:p>
    <w:p w14:paraId="735EA0F8" w14:textId="77777777" w:rsidR="001E6F74" w:rsidRPr="009525BC" w:rsidRDefault="00000000" w:rsidP="00F23C59">
      <w:pPr>
        <w:spacing w:after="120" w:line="276" w:lineRule="auto"/>
        <w:jc w:val="center"/>
        <w:rPr>
          <w:rFonts w:ascii="Times New Roman" w:eastAsia="Times New Roman" w:hAnsi="Times New Roman" w:cs="Times New Roman"/>
          <w:b/>
          <w:color w:val="002060"/>
          <w:sz w:val="24"/>
          <w:szCs w:val="24"/>
        </w:rPr>
      </w:pPr>
      <w:r w:rsidRPr="009525BC">
        <w:rPr>
          <w:rFonts w:ascii="Times New Roman" w:eastAsia="Times New Roman" w:hAnsi="Times New Roman" w:cs="Times New Roman"/>
          <w:b/>
          <w:color w:val="002060"/>
          <w:sz w:val="24"/>
          <w:szCs w:val="24"/>
        </w:rPr>
        <w:t>INTRODUCTION</w:t>
      </w:r>
    </w:p>
    <w:p w14:paraId="249528C6" w14:textId="72B62381"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In the atmosphere of the Industrial Revolution 4.0, the business world is forced to face a situation known as </w:t>
      </w:r>
      <w:r w:rsidRPr="009525BC">
        <w:rPr>
          <w:rFonts w:ascii="Times New Roman" w:eastAsia="Times New Roman" w:hAnsi="Times New Roman" w:cs="Times New Roman"/>
          <w:i/>
          <w:iCs/>
          <w:sz w:val="24"/>
          <w:szCs w:val="24"/>
        </w:rPr>
        <w:t>VUCA</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Volatility, Uncertainty, Complexity, Ambiguity</w:t>
      </w:r>
      <w:r w:rsidRPr="009525BC">
        <w:rPr>
          <w:rFonts w:ascii="Times New Roman" w:eastAsia="Times New Roman" w:hAnsi="Times New Roman" w:cs="Times New Roman"/>
          <w:sz w:val="24"/>
          <w:szCs w:val="24"/>
        </w:rPr>
        <w:t xml:space="preserve">)—a condition that makes future predictions difficult. Consequently, the trade sector encounters major challenges in formulating business strategies to bridge the gap between </w:t>
      </w:r>
      <w:r w:rsidRPr="009525BC">
        <w:rPr>
          <w:rFonts w:ascii="Times New Roman" w:eastAsia="Times New Roman" w:hAnsi="Times New Roman" w:cs="Times New Roman"/>
          <w:i/>
          <w:iCs/>
          <w:sz w:val="24"/>
          <w:szCs w:val="24"/>
        </w:rPr>
        <w:t>value offered</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VO</w:t>
      </w:r>
      <w:r w:rsidRPr="009525BC">
        <w:rPr>
          <w:rFonts w:ascii="Times New Roman" w:eastAsia="Times New Roman" w:hAnsi="Times New Roman" w:cs="Times New Roman"/>
          <w:sz w:val="24"/>
          <w:szCs w:val="24"/>
        </w:rPr>
        <w:t xml:space="preserve">) and </w:t>
      </w:r>
      <w:r w:rsidRPr="009525BC">
        <w:rPr>
          <w:rFonts w:ascii="Times New Roman" w:eastAsia="Times New Roman" w:hAnsi="Times New Roman" w:cs="Times New Roman"/>
          <w:i/>
          <w:iCs/>
          <w:sz w:val="24"/>
          <w:szCs w:val="24"/>
        </w:rPr>
        <w:t>value sought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VS</w:t>
      </w:r>
      <w:r w:rsidRPr="009525BC">
        <w:rPr>
          <w:rFonts w:ascii="Times New Roman" w:eastAsia="Times New Roman" w:hAnsi="Times New Roman" w:cs="Times New Roman"/>
          <w:sz w:val="24"/>
          <w:szCs w:val="24"/>
        </w:rPr>
        <w:t>), while simultaneously dealing with the ever-growing emergence of competitors</w:t>
      </w:r>
      <w:r w:rsidR="00646B60">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"/>
          <w:id w:val="-1809398698"/>
          <w:placeholder>
            <w:docPart w:val="DefaultPlaceholder_-1854013440"/>
          </w:placeholder>
        </w:sdtPr>
        <w:sdtContent>
          <w:r w:rsidR="00646B60" w:rsidRPr="00646B60">
            <w:rPr>
              <w:rFonts w:ascii="Times New Roman" w:eastAsia="Times New Roman" w:hAnsi="Times New Roman" w:cs="Times New Roman"/>
              <w:color w:val="000000"/>
              <w:sz w:val="24"/>
              <w:szCs w:val="24"/>
            </w:rPr>
            <w:t>(</w:t>
          </w:r>
          <w:proofErr w:type="spellStart"/>
          <w:r w:rsidR="00646B60" w:rsidRPr="00646B60">
            <w:rPr>
              <w:rFonts w:ascii="Times New Roman" w:eastAsia="Times New Roman" w:hAnsi="Times New Roman" w:cs="Times New Roman"/>
              <w:color w:val="000000"/>
              <w:sz w:val="24"/>
              <w:szCs w:val="24"/>
            </w:rPr>
            <w:t>Intyas</w:t>
          </w:r>
          <w:proofErr w:type="spellEnd"/>
          <w:r w:rsidR="00646B60" w:rsidRPr="00646B60">
            <w:rPr>
              <w:rFonts w:ascii="Times New Roman" w:eastAsia="Times New Roman" w:hAnsi="Times New Roman" w:cs="Times New Roman"/>
              <w:color w:val="000000"/>
              <w:sz w:val="24"/>
              <w:szCs w:val="24"/>
            </w:rPr>
            <w:t xml:space="preserve"> et al., 2022; Lestari, 2022; Mukhlisah, 2023; Puji et al., 2022; Soraya et al., 2022)</w:t>
          </w:r>
        </w:sdtContent>
      </w:sdt>
      <w:r w:rsidRPr="009525BC">
        <w:rPr>
          <w:rFonts w:ascii="Times New Roman" w:eastAsia="Times New Roman" w:hAnsi="Times New Roman" w:cs="Times New Roman"/>
          <w:sz w:val="24"/>
          <w:szCs w:val="24"/>
        </w:rPr>
        <w:t xml:space="preserve">. Operationally, Walkers Jr. and Mullins (2011:6–7) explain that aligning </w:t>
      </w:r>
      <w:r w:rsidRPr="009525BC">
        <w:rPr>
          <w:rFonts w:ascii="Times New Roman" w:eastAsia="Times New Roman" w:hAnsi="Times New Roman" w:cs="Times New Roman"/>
          <w:i/>
          <w:iCs/>
          <w:sz w:val="24"/>
          <w:szCs w:val="24"/>
        </w:rPr>
        <w:t>VO</w:t>
      </w:r>
      <w:r w:rsidRPr="009525BC">
        <w:rPr>
          <w:rFonts w:ascii="Times New Roman" w:eastAsia="Times New Roman" w:hAnsi="Times New Roman" w:cs="Times New Roman"/>
          <w:sz w:val="24"/>
          <w:szCs w:val="24"/>
        </w:rPr>
        <w:t xml:space="preserve"> with </w:t>
      </w:r>
      <w:r w:rsidRPr="009525BC">
        <w:rPr>
          <w:rFonts w:ascii="Times New Roman" w:eastAsia="Times New Roman" w:hAnsi="Times New Roman" w:cs="Times New Roman"/>
          <w:i/>
          <w:iCs/>
          <w:sz w:val="24"/>
          <w:szCs w:val="24"/>
        </w:rPr>
        <w:lastRenderedPageBreak/>
        <w:t>VS</w:t>
      </w:r>
      <w:r w:rsidRPr="009525BC">
        <w:rPr>
          <w:rFonts w:ascii="Times New Roman" w:eastAsia="Times New Roman" w:hAnsi="Times New Roman" w:cs="Times New Roman"/>
          <w:sz w:val="24"/>
          <w:szCs w:val="24"/>
        </w:rPr>
        <w:t xml:space="preserve">, while also mitigating the </w:t>
      </w:r>
      <w:r w:rsidRPr="009525BC">
        <w:rPr>
          <w:rFonts w:ascii="Times New Roman" w:eastAsia="Times New Roman" w:hAnsi="Times New Roman" w:cs="Times New Roman"/>
          <w:i/>
          <w:iCs/>
          <w:sz w:val="24"/>
          <w:szCs w:val="24"/>
        </w:rPr>
        <w:t>VO</w:t>
      </w:r>
      <w:r w:rsidRPr="009525BC">
        <w:rPr>
          <w:rFonts w:ascii="Times New Roman" w:eastAsia="Times New Roman" w:hAnsi="Times New Roman" w:cs="Times New Roman"/>
          <w:sz w:val="24"/>
          <w:szCs w:val="24"/>
        </w:rPr>
        <w:t xml:space="preserve"> of competitors, requires an understanding of </w:t>
      </w:r>
      <w:r w:rsidRPr="009525BC">
        <w:rPr>
          <w:rFonts w:ascii="Times New Roman" w:eastAsia="Times New Roman" w:hAnsi="Times New Roman" w:cs="Times New Roman"/>
          <w:i/>
          <w:iCs/>
          <w:sz w:val="24"/>
          <w:szCs w:val="24"/>
        </w:rPr>
        <w:t>Product-Market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Competitive Position</w:t>
      </w:r>
      <w:r w:rsidRPr="009525BC">
        <w:rPr>
          <w:rFonts w:ascii="Times New Roman" w:eastAsia="Times New Roman" w:hAnsi="Times New Roman" w:cs="Times New Roman"/>
          <w:sz w:val="24"/>
          <w:szCs w:val="24"/>
        </w:rPr>
        <w:t xml:space="preserve">, and </w:t>
      </w:r>
      <w:r w:rsidRPr="009525BC">
        <w:rPr>
          <w:rFonts w:ascii="Times New Roman" w:eastAsia="Times New Roman" w:hAnsi="Times New Roman" w:cs="Times New Roman"/>
          <w:i/>
          <w:iCs/>
          <w:sz w:val="24"/>
          <w:szCs w:val="24"/>
        </w:rPr>
        <w:t>Strategic Window</w:t>
      </w:r>
      <w:r w:rsidRPr="009525BC">
        <w:rPr>
          <w:rFonts w:ascii="Times New Roman" w:eastAsia="Times New Roman" w:hAnsi="Times New Roman" w:cs="Times New Roman"/>
          <w:sz w:val="24"/>
          <w:szCs w:val="24"/>
        </w:rPr>
        <w:t xml:space="preserve"> (Walker in Belch, George E. &amp; Belch, Michael A., 2014).</w:t>
      </w:r>
    </w:p>
    <w:p w14:paraId="0949F3EC"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To determine an effective marketing strategy using these three strategic elements as proposed by Walker, efficient management of </w:t>
      </w:r>
      <w:r w:rsidRPr="009525BC">
        <w:rPr>
          <w:rFonts w:ascii="Times New Roman" w:eastAsia="Times New Roman" w:hAnsi="Times New Roman" w:cs="Times New Roman"/>
          <w:i/>
          <w:iCs/>
          <w:sz w:val="24"/>
          <w:szCs w:val="24"/>
        </w:rPr>
        <w:t>value offered</w:t>
      </w:r>
      <w:r w:rsidRPr="009525BC">
        <w:rPr>
          <w:rFonts w:ascii="Times New Roman" w:eastAsia="Times New Roman" w:hAnsi="Times New Roman" w:cs="Times New Roman"/>
          <w:sz w:val="24"/>
          <w:szCs w:val="24"/>
        </w:rPr>
        <w:t xml:space="preserve"> can lead to an overlap with </w:t>
      </w:r>
      <w:r w:rsidRPr="009525BC">
        <w:rPr>
          <w:rFonts w:ascii="Times New Roman" w:eastAsia="Times New Roman" w:hAnsi="Times New Roman" w:cs="Times New Roman"/>
          <w:i/>
          <w:iCs/>
          <w:sz w:val="24"/>
          <w:szCs w:val="24"/>
        </w:rPr>
        <w:t>value sought</w:t>
      </w:r>
      <w:r w:rsidRPr="009525BC">
        <w:rPr>
          <w:rFonts w:ascii="Times New Roman" w:eastAsia="Times New Roman" w:hAnsi="Times New Roman" w:cs="Times New Roman"/>
          <w:sz w:val="24"/>
          <w:szCs w:val="24"/>
        </w:rPr>
        <w:t xml:space="preserve">. In building efficient </w:t>
      </w:r>
      <w:r w:rsidRPr="009525BC">
        <w:rPr>
          <w:rFonts w:ascii="Times New Roman" w:eastAsia="Times New Roman" w:hAnsi="Times New Roman" w:cs="Times New Roman"/>
          <w:i/>
          <w:iCs/>
          <w:sz w:val="24"/>
          <w:szCs w:val="24"/>
        </w:rPr>
        <w:t>value offered</w:t>
      </w:r>
      <w:r w:rsidRPr="009525BC">
        <w:rPr>
          <w:rFonts w:ascii="Times New Roman" w:eastAsia="Times New Roman" w:hAnsi="Times New Roman" w:cs="Times New Roman"/>
          <w:sz w:val="24"/>
          <w:szCs w:val="24"/>
        </w:rPr>
        <w:t xml:space="preserve">, internal strategy becomes crucial, and work productivity serves as a key variable to achieving the expected </w:t>
      </w:r>
      <w:r w:rsidRPr="009525BC">
        <w:rPr>
          <w:rFonts w:ascii="Times New Roman" w:eastAsia="Times New Roman" w:hAnsi="Times New Roman" w:cs="Times New Roman"/>
          <w:i/>
          <w:iCs/>
          <w:sz w:val="24"/>
          <w:szCs w:val="24"/>
        </w:rPr>
        <w:t>value offered</w:t>
      </w:r>
      <w:r w:rsidRPr="009525BC">
        <w:rPr>
          <w:rFonts w:ascii="Times New Roman" w:eastAsia="Times New Roman" w:hAnsi="Times New Roman" w:cs="Times New Roman"/>
          <w:sz w:val="24"/>
          <w:szCs w:val="24"/>
        </w:rPr>
        <w:t>. In this context, human resource issues become central for companies aiming to sustain employee productivity. The increasing pressure on companies to manage and maintain high-quality human resources is driven by the dynamic and ever-changing environment. Meanwhile, productive marketing strategies can only be implemented if the workforce demonstrates high productivity, achieves set targets, and fulfills responsibilities punctually (Haryo &amp; W, 2018). Employee productivity acts as a benchmark for companies in carrying out their business operations in terms of both product quality and quantity (Putu, Claudia, &amp; Suana, 2018).</w:t>
      </w:r>
    </w:p>
    <w:p w14:paraId="751F5CDA"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Employee productivity is consistently a reference point for all companies in ensuring their operational effectiveness and efficiency (Wirawan, Harris, &amp; Suwena, 2019). In today's competitive trade landscape, organizations must enhance employee quality and welfare to match or surpass the competitiveness of others. Companies cannot rely solely on capital to achieve goals; they must also pay attention to other production factors including nature, labor, and expertise. These elements must synergize to effectively and efficiently accomplish business objectives (Maduka, C.E., &amp; Okafor, O., 2014). Improving efficiency and effectiveness becomes a form of capital in itself. The primary aim of a company is to generate profit and excel in meeting consumer demands. Alongside these goals, firms are expected to remain consistently productive in delivering high-quality, sustainable products (Saleh &amp; Utomo, 2018).</w:t>
      </w:r>
    </w:p>
    <w:p w14:paraId="4F3A1945"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Several studies on productivity underscore its role as a critical variable in achieving organizational goals. Research by Sundstrom, E., Town, J., Price, R.W., Osborn, D.P., and Brill, M. evaluated how workplace environment factors such as lighting, noise, and office layout influence employee productivity. Their study concluded that an optimal work environment—featuring adequate lighting, controlled noise levels, and a layout conducive to balancing collaboration and privacy—can significantly enhance productivity and employee well-being (Sundstrom et al., 2022). Similarly, the article by Ryan and Deci (2000), titled </w:t>
      </w:r>
      <w:r w:rsidRPr="009525BC">
        <w:rPr>
          <w:rFonts w:ascii="Times New Roman" w:eastAsia="Times New Roman" w:hAnsi="Times New Roman" w:cs="Times New Roman"/>
          <w:i/>
          <w:iCs/>
          <w:sz w:val="24"/>
          <w:szCs w:val="24"/>
        </w:rPr>
        <w:t>"Intrinsic and Extrinsic Motivations: Classic Definitions and New Directions"</w:t>
      </w:r>
      <w:r w:rsidRPr="009525BC">
        <w:rPr>
          <w:rFonts w:ascii="Times New Roman" w:eastAsia="Times New Roman" w:hAnsi="Times New Roman" w:cs="Times New Roman"/>
          <w:sz w:val="24"/>
          <w:szCs w:val="24"/>
        </w:rPr>
        <w:t xml:space="preserve">, offers an in-depth discussion on intrinsic and extrinsic motivation. It highlights the importance of managing both types of motivation in improving individual performance and well-being. They emphasize that an environment supporting basic </w:t>
      </w:r>
      <w:r w:rsidRPr="009525BC">
        <w:rPr>
          <w:rFonts w:ascii="Times New Roman" w:eastAsia="Times New Roman" w:hAnsi="Times New Roman" w:cs="Times New Roman"/>
          <w:sz w:val="24"/>
          <w:szCs w:val="24"/>
        </w:rPr>
        <w:lastRenderedPageBreak/>
        <w:t>psychological needs fosters intrinsic motivation, which ultimately leads to better performance and greater satisfaction (Ryan &amp; Deci, 2000).</w:t>
      </w:r>
    </w:p>
    <w:p w14:paraId="02E8527F"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Further research by Winna Carvinna, titled </w:t>
      </w:r>
      <w:r w:rsidRPr="009525BC">
        <w:rPr>
          <w:rFonts w:ascii="Times New Roman" w:eastAsia="Times New Roman" w:hAnsi="Times New Roman" w:cs="Times New Roman"/>
          <w:i/>
          <w:iCs/>
          <w:sz w:val="24"/>
          <w:szCs w:val="24"/>
        </w:rPr>
        <w:t>"Analysis of Factors Affecting Work Productivity of Employees of PT. Delta Merlin Dunia Textile in Karanganyar"</w:t>
      </w:r>
      <w:r w:rsidRPr="009525BC">
        <w:rPr>
          <w:rFonts w:ascii="Times New Roman" w:eastAsia="Times New Roman" w:hAnsi="Times New Roman" w:cs="Times New Roman"/>
          <w:sz w:val="24"/>
          <w:szCs w:val="24"/>
        </w:rPr>
        <w:t>, analyzed the influence of motivation and wages on productivity using multiple regression analysis. The results revealed that both motivation and wages positively and significantly influence work productivity (</w:t>
      </w:r>
      <w:r w:rsidRPr="009525BC">
        <w:rPr>
          <w:rFonts w:ascii="Times New Roman" w:eastAsia="Times New Roman" w:hAnsi="Times New Roman" w:cs="Times New Roman"/>
          <w:i/>
          <w:iCs/>
          <w:sz w:val="24"/>
          <w:szCs w:val="24"/>
        </w:rPr>
        <w:t>Publication Manuscript</w:t>
      </w:r>
      <w:r w:rsidRPr="009525BC">
        <w:rPr>
          <w:rFonts w:ascii="Times New Roman" w:eastAsia="Times New Roman" w:hAnsi="Times New Roman" w:cs="Times New Roman"/>
          <w:sz w:val="24"/>
          <w:szCs w:val="24"/>
        </w:rPr>
        <w:t>, ums.ac.id). Arthur, W., Bennett, W., Edens, P.S., and Bell, S.T. (2003) conducted a meta-analysis on the effectiveness of organizational training programs. Their study found that training design and evaluation methods significantly improve work performance capabilities (Arthur et al., 2013).</w:t>
      </w:r>
    </w:p>
    <w:p w14:paraId="25B1913A"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Numerous studies confirm that multiple variables influence employee productivity. While motivation remains a dominant factor in most productivity studies, wages and the work environment also show strong correlations. Van de Lande identifies motivation, individual work discipline, and a supportive work environment as critical factors affecting productivity levels. The deployment of high-quality human resources in industrial sectors is a key factor in achieving organizational success.</w:t>
      </w:r>
    </w:p>
    <w:p w14:paraId="281D35AA"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From both micro and macro perspectives,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faces intense business competition but also enjoys significant opportunities due to the high economic growth in Batu City, especially in the trade sector. From the standpoint of market positioning,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currently resides in the </w:t>
      </w:r>
      <w:r w:rsidRPr="009525BC">
        <w:rPr>
          <w:rFonts w:ascii="Times New Roman" w:eastAsia="Times New Roman" w:hAnsi="Times New Roman" w:cs="Times New Roman"/>
          <w:i/>
          <w:iCs/>
          <w:sz w:val="24"/>
          <w:szCs w:val="24"/>
        </w:rPr>
        <w:t>progressive quadrant</w:t>
      </w:r>
      <w:r w:rsidRPr="009525BC">
        <w:rPr>
          <w:rFonts w:ascii="Times New Roman" w:eastAsia="Times New Roman" w:hAnsi="Times New Roman" w:cs="Times New Roman"/>
          <w:sz w:val="24"/>
          <w:szCs w:val="24"/>
        </w:rPr>
        <w:t xml:space="preserve">. Therefore, strengthening employee productivity emerges as a strategic business development choice. The challenge lies in identifying which variables influence productivity enhancement. Observations of the research subject reveal that strengthening employee motivation and increasing work experience significantly contribute to enhancing the productivity of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employees.</w:t>
      </w:r>
    </w:p>
    <w:p w14:paraId="4F920CEC" w14:textId="77777777" w:rsidR="001E6F74" w:rsidRPr="009525BC" w:rsidRDefault="001E6F74">
      <w:pPr>
        <w:spacing w:after="0" w:line="276" w:lineRule="auto"/>
        <w:jc w:val="both"/>
        <w:rPr>
          <w:rFonts w:ascii="Times New Roman" w:eastAsia="Times New Roman" w:hAnsi="Times New Roman" w:cs="Times New Roman"/>
        </w:rPr>
      </w:pPr>
    </w:p>
    <w:p w14:paraId="31068B8F" w14:textId="77777777" w:rsidR="001E6F74" w:rsidRPr="009525BC" w:rsidRDefault="00000000" w:rsidP="00474A2F">
      <w:pPr>
        <w:spacing w:after="120" w:line="276" w:lineRule="auto"/>
        <w:jc w:val="center"/>
        <w:rPr>
          <w:rFonts w:ascii="Times New Roman" w:eastAsia="Times New Roman" w:hAnsi="Times New Roman" w:cs="Times New Roman"/>
          <w:b/>
          <w:color w:val="002060"/>
          <w:sz w:val="24"/>
          <w:szCs w:val="24"/>
        </w:rPr>
      </w:pPr>
      <w:r w:rsidRPr="009525BC">
        <w:rPr>
          <w:rFonts w:ascii="Times New Roman" w:eastAsia="Times New Roman" w:hAnsi="Times New Roman" w:cs="Times New Roman"/>
          <w:b/>
          <w:color w:val="002060"/>
          <w:sz w:val="24"/>
          <w:szCs w:val="24"/>
        </w:rPr>
        <w:t>RESEARCH METHOD</w:t>
      </w:r>
    </w:p>
    <w:p w14:paraId="5AEEC093" w14:textId="77777777" w:rsidR="009525BC" w:rsidRPr="009525BC" w:rsidRDefault="009525BC" w:rsidP="009525BC">
      <w:pPr>
        <w:spacing w:after="0" w:line="276" w:lineRule="auto"/>
        <w:ind w:firstLine="567"/>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In understanding and analyzing the optimization of employee work productivity through increasing motivation and work experience at </w:t>
      </w:r>
      <w:r w:rsidRPr="009525BC">
        <w:rPr>
          <w:rFonts w:ascii="Times New Roman" w:eastAsia="Times New Roman" w:hAnsi="Times New Roman" w:cs="Times New Roman"/>
          <w:i/>
          <w:iCs/>
          <w:sz w:val="24"/>
          <w:szCs w:val="24"/>
        </w:rPr>
        <w:t>PT Anak Garuda Shop</w:t>
      </w:r>
      <w:r w:rsidRPr="009525BC">
        <w:rPr>
          <w:rFonts w:ascii="Times New Roman" w:eastAsia="Times New Roman" w:hAnsi="Times New Roman" w:cs="Times New Roman"/>
          <w:sz w:val="24"/>
          <w:szCs w:val="24"/>
        </w:rPr>
        <w:t xml:space="preserve">, explanatory research is conducted by verifying the relationship between variables using a quantitative approach. The variables are verified through a </w:t>
      </w:r>
      <w:r w:rsidRPr="009525BC">
        <w:rPr>
          <w:rFonts w:ascii="Times New Roman" w:eastAsia="Times New Roman" w:hAnsi="Times New Roman" w:cs="Times New Roman"/>
          <w:i/>
          <w:iCs/>
          <w:sz w:val="24"/>
          <w:szCs w:val="24"/>
        </w:rPr>
        <w:t>survey research</w:t>
      </w:r>
      <w:r w:rsidRPr="009525BC">
        <w:rPr>
          <w:rFonts w:ascii="Times New Roman" w:eastAsia="Times New Roman" w:hAnsi="Times New Roman" w:cs="Times New Roman"/>
          <w:sz w:val="24"/>
          <w:szCs w:val="24"/>
        </w:rPr>
        <w:t xml:space="preserve"> method using data collection instruments in the form of questionnaires, which are structured based on concepts and operations constructed from the theoretical framework of the study, forming a conceptual and operational framework.</w:t>
      </w:r>
    </w:p>
    <w:p w14:paraId="145EC104" w14:textId="77777777" w:rsidR="009525BC" w:rsidRPr="009525BC" w:rsidRDefault="009525BC" w:rsidP="009525BC">
      <w:pPr>
        <w:spacing w:after="0" w:line="276" w:lineRule="auto"/>
        <w:ind w:firstLine="567"/>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The conceptualization and operationalization of the </w:t>
      </w:r>
      <w:r w:rsidRPr="009525BC">
        <w:rPr>
          <w:rFonts w:ascii="Times New Roman" w:eastAsia="Times New Roman" w:hAnsi="Times New Roman" w:cs="Times New Roman"/>
          <w:i/>
          <w:iCs/>
          <w:sz w:val="24"/>
          <w:szCs w:val="24"/>
        </w:rPr>
        <w:t>Work Productivity</w:t>
      </w:r>
      <w:r w:rsidRPr="009525BC">
        <w:rPr>
          <w:rFonts w:ascii="Times New Roman" w:eastAsia="Times New Roman" w:hAnsi="Times New Roman" w:cs="Times New Roman"/>
          <w:sz w:val="24"/>
          <w:szCs w:val="24"/>
        </w:rPr>
        <w:t xml:space="preserve"> variable are measured through the following indicators: Output (</w:t>
      </w:r>
      <w:r w:rsidRPr="009525BC">
        <w:rPr>
          <w:rFonts w:ascii="Times New Roman" w:eastAsia="Times New Roman" w:hAnsi="Times New Roman" w:cs="Times New Roman"/>
          <w:i/>
          <w:iCs/>
          <w:sz w:val="24"/>
          <w:szCs w:val="24"/>
        </w:rPr>
        <w:t>Work Results</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lastRenderedPageBreak/>
        <w:t>Work Efficiency</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Work Quality</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Work Time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Absenteeism and Attendance Levels</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Task Completion Levels</w:t>
      </w:r>
      <w:r w:rsidRPr="009525BC">
        <w:rPr>
          <w:rFonts w:ascii="Times New Roman" w:eastAsia="Times New Roman" w:hAnsi="Times New Roman" w:cs="Times New Roman"/>
          <w:sz w:val="24"/>
          <w:szCs w:val="24"/>
        </w:rPr>
        <w:t xml:space="preserve">, and </w:t>
      </w:r>
      <w:r w:rsidRPr="009525BC">
        <w:rPr>
          <w:rFonts w:ascii="Times New Roman" w:eastAsia="Times New Roman" w:hAnsi="Times New Roman" w:cs="Times New Roman"/>
          <w:i/>
          <w:iCs/>
          <w:sz w:val="24"/>
          <w:szCs w:val="24"/>
        </w:rPr>
        <w:t>Creativity and Innovation</w:t>
      </w:r>
      <w:r w:rsidRPr="009525BC">
        <w:rPr>
          <w:rFonts w:ascii="Times New Roman" w:eastAsia="Times New Roman" w:hAnsi="Times New Roman" w:cs="Times New Roman"/>
          <w:sz w:val="24"/>
          <w:szCs w:val="24"/>
        </w:rPr>
        <w:t xml:space="preserve">. The first causal variable, </w:t>
      </w:r>
      <w:r w:rsidRPr="009525BC">
        <w:rPr>
          <w:rFonts w:ascii="Times New Roman" w:eastAsia="Times New Roman" w:hAnsi="Times New Roman" w:cs="Times New Roman"/>
          <w:i/>
          <w:iCs/>
          <w:sz w:val="24"/>
          <w:szCs w:val="24"/>
        </w:rPr>
        <w:t>Work Motivation</w:t>
      </w:r>
      <w:r w:rsidRPr="009525BC">
        <w:rPr>
          <w:rFonts w:ascii="Times New Roman" w:eastAsia="Times New Roman" w:hAnsi="Times New Roman" w:cs="Times New Roman"/>
          <w:sz w:val="24"/>
          <w:szCs w:val="24"/>
        </w:rPr>
        <w:t xml:space="preserve">, is measured using the following indicators: </w:t>
      </w:r>
      <w:r w:rsidRPr="009525BC">
        <w:rPr>
          <w:rFonts w:ascii="Times New Roman" w:eastAsia="Times New Roman" w:hAnsi="Times New Roman" w:cs="Times New Roman"/>
          <w:i/>
          <w:iCs/>
          <w:sz w:val="24"/>
          <w:szCs w:val="24"/>
        </w:rPr>
        <w:t>Achievement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Recognition</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Work Itself</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Responsibility</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Advancement</w:t>
      </w:r>
      <w:r w:rsidRPr="009525BC">
        <w:rPr>
          <w:rFonts w:ascii="Times New Roman" w:eastAsia="Times New Roman" w:hAnsi="Times New Roman" w:cs="Times New Roman"/>
          <w:sz w:val="24"/>
          <w:szCs w:val="24"/>
        </w:rPr>
        <w:t xml:space="preserve">, and </w:t>
      </w:r>
      <w:r w:rsidRPr="009525BC">
        <w:rPr>
          <w:rFonts w:ascii="Times New Roman" w:eastAsia="Times New Roman" w:hAnsi="Times New Roman" w:cs="Times New Roman"/>
          <w:i/>
          <w:iCs/>
          <w:sz w:val="24"/>
          <w:szCs w:val="24"/>
        </w:rPr>
        <w:t>Growth</w:t>
      </w:r>
      <w:r w:rsidRPr="009525BC">
        <w:rPr>
          <w:rFonts w:ascii="Times New Roman" w:eastAsia="Times New Roman" w:hAnsi="Times New Roman" w:cs="Times New Roman"/>
          <w:sz w:val="24"/>
          <w:szCs w:val="24"/>
        </w:rPr>
        <w:t xml:space="preserve">. Meanwhile, the </w:t>
      </w:r>
      <w:r w:rsidRPr="009525BC">
        <w:rPr>
          <w:rFonts w:ascii="Times New Roman" w:eastAsia="Times New Roman" w:hAnsi="Times New Roman" w:cs="Times New Roman"/>
          <w:i/>
          <w:iCs/>
          <w:sz w:val="24"/>
          <w:szCs w:val="24"/>
        </w:rPr>
        <w:t>Work Experience</w:t>
      </w:r>
      <w:r w:rsidRPr="009525BC">
        <w:rPr>
          <w:rFonts w:ascii="Times New Roman" w:eastAsia="Times New Roman" w:hAnsi="Times New Roman" w:cs="Times New Roman"/>
          <w:sz w:val="24"/>
          <w:szCs w:val="24"/>
        </w:rPr>
        <w:t xml:space="preserve"> variable is measured based on indicators including </w:t>
      </w:r>
      <w:r w:rsidRPr="009525BC">
        <w:rPr>
          <w:rFonts w:ascii="Times New Roman" w:eastAsia="Times New Roman" w:hAnsi="Times New Roman" w:cs="Times New Roman"/>
          <w:i/>
          <w:iCs/>
          <w:sz w:val="24"/>
          <w:szCs w:val="24"/>
        </w:rPr>
        <w:t>Duration of Work Experience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Tenure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Variation of Work Experience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Relevance of Work Experience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Quality of Work Experience</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Training and Development Experience</w:t>
      </w:r>
      <w:r w:rsidRPr="009525BC">
        <w:rPr>
          <w:rFonts w:ascii="Times New Roman" w:eastAsia="Times New Roman" w:hAnsi="Times New Roman" w:cs="Times New Roman"/>
          <w:sz w:val="24"/>
          <w:szCs w:val="24"/>
        </w:rPr>
        <w:t xml:space="preserve">, and </w:t>
      </w:r>
      <w:r w:rsidRPr="009525BC">
        <w:rPr>
          <w:rFonts w:ascii="Times New Roman" w:eastAsia="Times New Roman" w:hAnsi="Times New Roman" w:cs="Times New Roman"/>
          <w:i/>
          <w:iCs/>
          <w:sz w:val="24"/>
          <w:szCs w:val="24"/>
        </w:rPr>
        <w:t>Career Mobility</w:t>
      </w:r>
      <w:r w:rsidRPr="009525BC">
        <w:rPr>
          <w:rFonts w:ascii="Times New Roman" w:eastAsia="Times New Roman" w:hAnsi="Times New Roman" w:cs="Times New Roman"/>
          <w:sz w:val="24"/>
          <w:szCs w:val="24"/>
        </w:rPr>
        <w:t>.</w:t>
      </w:r>
    </w:p>
    <w:p w14:paraId="121F625D" w14:textId="77777777" w:rsidR="009525BC" w:rsidRPr="009525BC" w:rsidRDefault="009525BC" w:rsidP="009525BC">
      <w:pPr>
        <w:spacing w:after="0" w:line="276" w:lineRule="auto"/>
        <w:ind w:firstLine="567"/>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The population in this study includes all employees of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totaling 103 individuals. A </w:t>
      </w:r>
      <w:r w:rsidRPr="009525BC">
        <w:rPr>
          <w:rFonts w:ascii="Times New Roman" w:eastAsia="Times New Roman" w:hAnsi="Times New Roman" w:cs="Times New Roman"/>
          <w:i/>
          <w:iCs/>
          <w:sz w:val="24"/>
          <w:szCs w:val="24"/>
        </w:rPr>
        <w:t>census</w:t>
      </w:r>
      <w:r w:rsidRPr="009525BC">
        <w:rPr>
          <w:rFonts w:ascii="Times New Roman" w:eastAsia="Times New Roman" w:hAnsi="Times New Roman" w:cs="Times New Roman"/>
          <w:sz w:val="24"/>
          <w:szCs w:val="24"/>
        </w:rPr>
        <w:t xml:space="preserve"> was conducted, in which all units of analysis were included as research subjects. Data were collected using questionnaires with closed-ended questions on a </w:t>
      </w:r>
      <w:r w:rsidRPr="009525BC">
        <w:rPr>
          <w:rFonts w:ascii="Times New Roman" w:eastAsia="Times New Roman" w:hAnsi="Times New Roman" w:cs="Times New Roman"/>
          <w:i/>
          <w:iCs/>
          <w:sz w:val="24"/>
          <w:szCs w:val="24"/>
        </w:rPr>
        <w:t>Likert scale</w:t>
      </w:r>
      <w:r w:rsidRPr="009525BC">
        <w:rPr>
          <w:rFonts w:ascii="Times New Roman" w:eastAsia="Times New Roman" w:hAnsi="Times New Roman" w:cs="Times New Roman"/>
          <w:sz w:val="24"/>
          <w:szCs w:val="24"/>
        </w:rPr>
        <w:t xml:space="preserve">. The validity test results showed significance, and reliability testing using the </w:t>
      </w:r>
      <w:r w:rsidRPr="009525BC">
        <w:rPr>
          <w:rFonts w:ascii="Times New Roman" w:eastAsia="Times New Roman" w:hAnsi="Times New Roman" w:cs="Times New Roman"/>
          <w:i/>
          <w:iCs/>
          <w:sz w:val="24"/>
          <w:szCs w:val="24"/>
        </w:rPr>
        <w:t>Cronbach Alpha</w:t>
      </w:r>
      <w:r w:rsidRPr="009525BC">
        <w:rPr>
          <w:rFonts w:ascii="Times New Roman" w:eastAsia="Times New Roman" w:hAnsi="Times New Roman" w:cs="Times New Roman"/>
          <w:sz w:val="24"/>
          <w:szCs w:val="24"/>
        </w:rPr>
        <w:t xml:space="preserve"> standard (value &gt; 0.70) confirmed the instrument to be valid and reliable (Nunnally, 1994).</w:t>
      </w:r>
    </w:p>
    <w:p w14:paraId="590D4E32" w14:textId="55379A44" w:rsidR="009525BC" w:rsidRPr="009525BC" w:rsidRDefault="009525BC" w:rsidP="009525BC">
      <w:pPr>
        <w:spacing w:after="0" w:line="276" w:lineRule="auto"/>
        <w:ind w:firstLine="567"/>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Data analysis involved conducting </w:t>
      </w:r>
      <w:r w:rsidRPr="009525BC">
        <w:rPr>
          <w:rFonts w:ascii="Times New Roman" w:eastAsia="Times New Roman" w:hAnsi="Times New Roman" w:cs="Times New Roman"/>
          <w:i/>
          <w:iCs/>
          <w:sz w:val="24"/>
          <w:szCs w:val="24"/>
        </w:rPr>
        <w:t>Classical Assumption Tests</w:t>
      </w:r>
      <w:r w:rsidRPr="009525BC">
        <w:rPr>
          <w:rFonts w:ascii="Times New Roman" w:eastAsia="Times New Roman" w:hAnsi="Times New Roman" w:cs="Times New Roman"/>
          <w:sz w:val="24"/>
          <w:szCs w:val="24"/>
        </w:rPr>
        <w:t xml:space="preserve">, including the </w:t>
      </w:r>
      <w:r w:rsidRPr="009525BC">
        <w:rPr>
          <w:rFonts w:ascii="Times New Roman" w:eastAsia="Times New Roman" w:hAnsi="Times New Roman" w:cs="Times New Roman"/>
          <w:i/>
          <w:iCs/>
          <w:sz w:val="24"/>
          <w:szCs w:val="24"/>
        </w:rPr>
        <w:t>Normality Test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Multicollinearity Test</w:t>
      </w:r>
      <w:r w:rsidRPr="009525BC">
        <w:rPr>
          <w:rFonts w:ascii="Times New Roman" w:eastAsia="Times New Roman" w:hAnsi="Times New Roman" w:cs="Times New Roman"/>
          <w:sz w:val="24"/>
          <w:szCs w:val="24"/>
        </w:rPr>
        <w:t xml:space="preserve"> with a tolerance value &gt; 0.10 and </w:t>
      </w:r>
      <w:r w:rsidRPr="009525BC">
        <w:rPr>
          <w:rFonts w:ascii="Times New Roman" w:eastAsia="Times New Roman" w:hAnsi="Times New Roman" w:cs="Times New Roman"/>
          <w:i/>
          <w:iCs/>
          <w:sz w:val="24"/>
          <w:szCs w:val="24"/>
        </w:rPr>
        <w:t>VIF</w:t>
      </w:r>
      <w:r w:rsidRPr="009525BC">
        <w:rPr>
          <w:rFonts w:ascii="Times New Roman" w:eastAsia="Times New Roman" w:hAnsi="Times New Roman" w:cs="Times New Roman"/>
          <w:sz w:val="24"/>
          <w:szCs w:val="24"/>
        </w:rPr>
        <w:t xml:space="preserve"> &lt; 10 (indicating no multicollinearity), and the </w:t>
      </w:r>
      <w:r w:rsidRPr="009525BC">
        <w:rPr>
          <w:rFonts w:ascii="Times New Roman" w:eastAsia="Times New Roman" w:hAnsi="Times New Roman" w:cs="Times New Roman"/>
          <w:i/>
          <w:iCs/>
          <w:sz w:val="24"/>
          <w:szCs w:val="24"/>
        </w:rPr>
        <w:t>Heteroscedasticity Test</w:t>
      </w:r>
      <w:r w:rsidRPr="009525BC">
        <w:rPr>
          <w:rFonts w:ascii="Times New Roman" w:eastAsia="Times New Roman" w:hAnsi="Times New Roman" w:cs="Times New Roman"/>
          <w:sz w:val="24"/>
          <w:szCs w:val="24"/>
        </w:rPr>
        <w:t xml:space="preserve">. The main data analysis employed </w:t>
      </w:r>
      <w:r w:rsidRPr="009525BC">
        <w:rPr>
          <w:rFonts w:ascii="Times New Roman" w:eastAsia="Times New Roman" w:hAnsi="Times New Roman" w:cs="Times New Roman"/>
          <w:i/>
          <w:iCs/>
          <w:sz w:val="24"/>
          <w:szCs w:val="24"/>
        </w:rPr>
        <w:t>Multiple Linear Regression Analysis</w:t>
      </w:r>
      <w:r w:rsidRPr="009525BC">
        <w:rPr>
          <w:rFonts w:ascii="Times New Roman" w:eastAsia="Times New Roman" w:hAnsi="Times New Roman" w:cs="Times New Roman"/>
          <w:sz w:val="24"/>
          <w:szCs w:val="24"/>
        </w:rPr>
        <w:t xml:space="preserve"> using the following formula: </w:t>
      </w:r>
      <w:r w:rsidRPr="009525BC">
        <w:rPr>
          <w:rFonts w:ascii="Times New Roman" w:eastAsia="Times New Roman" w:hAnsi="Times New Roman" w:cs="Times New Roman"/>
          <w:i/>
          <w:iCs/>
          <w:sz w:val="24"/>
          <w:szCs w:val="24"/>
        </w:rPr>
        <w:t>Y = a + b₁X₁ + b₂X₂ + e</w:t>
      </w:r>
      <w:r w:rsidRPr="009525BC">
        <w:rPr>
          <w:rFonts w:ascii="Times New Roman" w:eastAsia="Times New Roman" w:hAnsi="Times New Roman" w:cs="Times New Roman"/>
          <w:sz w:val="24"/>
          <w:szCs w:val="24"/>
        </w:rPr>
        <w:t xml:space="preserve">. To test the hypotheses, the </w:t>
      </w:r>
      <w:r w:rsidRPr="009525BC">
        <w:rPr>
          <w:rFonts w:ascii="Times New Roman" w:eastAsia="Times New Roman" w:hAnsi="Times New Roman" w:cs="Times New Roman"/>
          <w:i/>
          <w:iCs/>
          <w:sz w:val="24"/>
          <w:szCs w:val="24"/>
        </w:rPr>
        <w:t>Simultaneous Significance Test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F-test</w:t>
      </w:r>
      <w:r w:rsidRPr="009525BC">
        <w:rPr>
          <w:rFonts w:ascii="Times New Roman" w:eastAsia="Times New Roman" w:hAnsi="Times New Roman" w:cs="Times New Roman"/>
          <w:sz w:val="24"/>
          <w:szCs w:val="24"/>
        </w:rPr>
        <w:t xml:space="preserve">) was applied using the </w:t>
      </w:r>
      <w:r w:rsidRPr="009525BC">
        <w:rPr>
          <w:rFonts w:ascii="Times New Roman" w:eastAsia="Times New Roman" w:hAnsi="Times New Roman" w:cs="Times New Roman"/>
          <w:i/>
          <w:iCs/>
          <w:sz w:val="24"/>
          <w:szCs w:val="24"/>
        </w:rPr>
        <w:t>Analysis of Variance (ANOVA)</w:t>
      </w:r>
      <w:r w:rsidRPr="009525BC">
        <w:rPr>
          <w:rFonts w:ascii="Times New Roman" w:eastAsia="Times New Roman" w:hAnsi="Times New Roman" w:cs="Times New Roman"/>
          <w:sz w:val="24"/>
          <w:szCs w:val="24"/>
        </w:rPr>
        <w:t xml:space="preserve"> technique (Ghozali, 2011:98), along with the </w:t>
      </w:r>
      <w:r w:rsidRPr="009525BC">
        <w:rPr>
          <w:rFonts w:ascii="Times New Roman" w:eastAsia="Times New Roman" w:hAnsi="Times New Roman" w:cs="Times New Roman"/>
          <w:i/>
          <w:iCs/>
          <w:sz w:val="24"/>
          <w:szCs w:val="24"/>
        </w:rPr>
        <w:t>Individual Parameter Significance Test</w:t>
      </w:r>
      <w:r w:rsidRPr="009525BC">
        <w:rPr>
          <w:rFonts w:ascii="Times New Roman" w:eastAsia="Times New Roman" w:hAnsi="Times New Roman" w:cs="Times New Roman"/>
          <w:sz w:val="24"/>
          <w:szCs w:val="24"/>
        </w:rPr>
        <w:t xml:space="preserve"> (</w:t>
      </w:r>
      <w:r w:rsidRPr="009525BC">
        <w:rPr>
          <w:rFonts w:ascii="Times New Roman" w:eastAsia="Times New Roman" w:hAnsi="Times New Roman" w:cs="Times New Roman"/>
          <w:i/>
          <w:iCs/>
          <w:sz w:val="24"/>
          <w:szCs w:val="24"/>
        </w:rPr>
        <w:t>t-test</w:t>
      </w:r>
      <w:r w:rsidRPr="009525BC">
        <w:rPr>
          <w:rFonts w:ascii="Times New Roman" w:eastAsia="Times New Roman" w:hAnsi="Times New Roman" w:cs="Times New Roman"/>
          <w:sz w:val="24"/>
          <w:szCs w:val="24"/>
        </w:rPr>
        <w:t xml:space="preserve">) and the </w:t>
      </w:r>
      <w:r w:rsidRPr="009525BC">
        <w:rPr>
          <w:rFonts w:ascii="Times New Roman" w:eastAsia="Times New Roman" w:hAnsi="Times New Roman" w:cs="Times New Roman"/>
          <w:i/>
          <w:iCs/>
          <w:sz w:val="24"/>
          <w:szCs w:val="24"/>
        </w:rPr>
        <w:t>R² Coefficient of Determination</w:t>
      </w:r>
      <w:r w:rsidRPr="009525BC">
        <w:rPr>
          <w:rFonts w:ascii="Times New Roman" w:eastAsia="Times New Roman" w:hAnsi="Times New Roman" w:cs="Times New Roman"/>
          <w:sz w:val="24"/>
          <w:szCs w:val="24"/>
        </w:rPr>
        <w:t xml:space="preserve"> test.</w:t>
      </w:r>
    </w:p>
    <w:p w14:paraId="13DC6FC7" w14:textId="1CF0BF7C" w:rsidR="001E6F74" w:rsidRPr="009525BC" w:rsidRDefault="001E6F74">
      <w:pPr>
        <w:spacing w:after="0" w:line="276" w:lineRule="auto"/>
        <w:ind w:firstLine="567"/>
        <w:jc w:val="both"/>
        <w:rPr>
          <w:rFonts w:ascii="Times New Roman" w:eastAsia="Times New Roman" w:hAnsi="Times New Roman" w:cs="Times New Roman"/>
          <w:sz w:val="24"/>
          <w:szCs w:val="24"/>
        </w:rPr>
      </w:pPr>
    </w:p>
    <w:p w14:paraId="0AB8EA3B" w14:textId="77777777" w:rsidR="001E6F74" w:rsidRPr="009525BC" w:rsidRDefault="00000000" w:rsidP="00474A2F">
      <w:pPr>
        <w:spacing w:after="120" w:line="276" w:lineRule="auto"/>
        <w:jc w:val="center"/>
        <w:rPr>
          <w:rFonts w:ascii="Times New Roman" w:eastAsia="Times New Roman" w:hAnsi="Times New Roman" w:cs="Times New Roman"/>
          <w:b/>
          <w:color w:val="002060"/>
          <w:sz w:val="24"/>
          <w:szCs w:val="24"/>
        </w:rPr>
      </w:pPr>
      <w:r w:rsidRPr="009525BC">
        <w:rPr>
          <w:rFonts w:ascii="Times New Roman" w:eastAsia="Times New Roman" w:hAnsi="Times New Roman" w:cs="Times New Roman"/>
          <w:b/>
          <w:color w:val="002060"/>
          <w:sz w:val="24"/>
          <w:szCs w:val="24"/>
        </w:rPr>
        <w:t>RESULT AND DISCUSSION</w:t>
      </w:r>
    </w:p>
    <w:p w14:paraId="72FE911A" w14:textId="77777777" w:rsidR="001E6F74" w:rsidRPr="009525BC" w:rsidRDefault="00000000">
      <w:pPr>
        <w:spacing w:after="0" w:line="276" w:lineRule="auto"/>
        <w:jc w:val="both"/>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Research Analysis Results</w:t>
      </w:r>
    </w:p>
    <w:p w14:paraId="2B119113" w14:textId="7AC66E5D"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This research was conducted in Batu City, where Batu City is a city</w:t>
      </w:r>
      <w:r w:rsidR="009525BC">
        <w:t xml:space="preserve"> </w:t>
      </w:r>
      <w:r w:rsidRPr="009525BC">
        <w:rPr>
          <w:rFonts w:ascii="Times New Roman" w:eastAsia="Times New Roman" w:hAnsi="Times New Roman" w:cs="Times New Roman"/>
          <w:sz w:val="24"/>
          <w:szCs w:val="24"/>
        </w:rPr>
        <w:t>tourism in</w:t>
      </w:r>
      <w:r w:rsidR="009525BC">
        <w:rPr>
          <w:rFonts w:ascii="Times New Roman" w:eastAsia="Times New Roman" w:hAnsi="Times New Roman" w:cs="Times New Roman"/>
          <w:sz w:val="24"/>
          <w:szCs w:val="24"/>
        </w:rPr>
        <w:t xml:space="preserve"> </w:t>
      </w:r>
      <w:hyperlink r:id="rId12">
        <w:r w:rsidR="001E6F74" w:rsidRPr="009525BC">
          <w:rPr>
            <w:rFonts w:ascii="Times New Roman" w:eastAsia="Times New Roman" w:hAnsi="Times New Roman" w:cs="Times New Roman"/>
            <w:color w:val="000000"/>
            <w:sz w:val="24"/>
            <w:szCs w:val="24"/>
          </w:rPr>
          <w:t>East Java Province</w:t>
        </w:r>
      </w:hyperlink>
      <w:r w:rsidRPr="009525BC">
        <w:rPr>
          <w:rFonts w:ascii="Times New Roman" w:eastAsia="Times New Roman" w:hAnsi="Times New Roman" w:cs="Times New Roman"/>
          <w:sz w:val="24"/>
          <w:szCs w:val="24"/>
        </w:rPr>
        <w:t>, Indonesia. The city is located 90 km southwest of</w:t>
      </w:r>
      <w:r w:rsidR="009525BC">
        <w:rPr>
          <w:rFonts w:ascii="Times New Roman" w:eastAsia="Times New Roman" w:hAnsi="Times New Roman" w:cs="Times New Roman"/>
          <w:sz w:val="24"/>
          <w:szCs w:val="24"/>
        </w:rPr>
        <w:t xml:space="preserve"> </w:t>
      </w:r>
      <w:hyperlink r:id="rId13">
        <w:r w:rsidR="001E6F74" w:rsidRPr="009525BC">
          <w:rPr>
            <w:rFonts w:ascii="Times New Roman" w:eastAsia="Times New Roman" w:hAnsi="Times New Roman" w:cs="Times New Roman"/>
            <w:color w:val="000000"/>
            <w:sz w:val="24"/>
            <w:szCs w:val="24"/>
          </w:rPr>
          <w:t>Surabaya</w:t>
        </w:r>
      </w:hyperlink>
      <w:r w:rsidR="009525BC">
        <w:t xml:space="preserve"> </w:t>
      </w:r>
      <w:r w:rsidRPr="009525BC">
        <w:rPr>
          <w:rFonts w:ascii="Times New Roman" w:eastAsia="Times New Roman" w:hAnsi="Times New Roman" w:cs="Times New Roman"/>
          <w:sz w:val="24"/>
          <w:szCs w:val="24"/>
        </w:rPr>
        <w:t xml:space="preserve">or 15 km </w:t>
      </w:r>
      <w:r w:rsidR="009525BC" w:rsidRPr="009525BC">
        <w:rPr>
          <w:rFonts w:ascii="Times New Roman" w:eastAsia="Times New Roman" w:hAnsi="Times New Roman" w:cs="Times New Roman"/>
          <w:sz w:val="24"/>
          <w:szCs w:val="24"/>
        </w:rPr>
        <w:t>northwest</w:t>
      </w:r>
      <w:hyperlink r:id="rId14"/>
      <w:r w:rsidRPr="009525BC">
        <w:rPr>
          <w:rFonts w:ascii="Times New Roman" w:eastAsia="Times New Roman" w:hAnsi="Times New Roman" w:cs="Times New Roman"/>
          <w:sz w:val="24"/>
          <w:szCs w:val="24"/>
        </w:rPr>
        <w:t xml:space="preserve">. Batu City is located on the route that </w:t>
      </w:r>
      <w:r w:rsidR="009525BC" w:rsidRPr="009525BC">
        <w:rPr>
          <w:rFonts w:ascii="Times New Roman" w:eastAsia="Times New Roman" w:hAnsi="Times New Roman" w:cs="Times New Roman"/>
          <w:sz w:val="24"/>
          <w:szCs w:val="24"/>
        </w:rPr>
        <w:t xml:space="preserve">connects, </w:t>
      </w:r>
      <w:hyperlink r:id="rId15">
        <w:r w:rsidR="009525BC" w:rsidRPr="009525BC">
          <w:rPr>
            <w:rFonts w:ascii="Times New Roman" w:eastAsia="Times New Roman" w:hAnsi="Times New Roman" w:cs="Times New Roman"/>
            <w:color w:val="000000"/>
            <w:sz w:val="24"/>
            <w:szCs w:val="24"/>
          </w:rPr>
          <w:t>The City</w:t>
        </w:r>
      </w:hyperlink>
      <w:r w:rsidR="009525BC" w:rsidRPr="009525BC">
        <w:rPr>
          <w:rFonts w:ascii="Times New Roman" w:eastAsia="Times New Roman" w:hAnsi="Times New Roman" w:cs="Times New Roman"/>
          <w:sz w:val="24"/>
          <w:szCs w:val="24"/>
        </w:rPr>
        <w:t xml:space="preserve">, and </w:t>
      </w:r>
      <w:hyperlink r:id="rId16">
        <w:r w:rsidR="009525BC" w:rsidRPr="009525BC">
          <w:rPr>
            <w:rFonts w:ascii="Times New Roman" w:eastAsia="Times New Roman" w:hAnsi="Times New Roman" w:cs="Times New Roman"/>
            <w:color w:val="000000"/>
            <w:sz w:val="24"/>
            <w:szCs w:val="24"/>
          </w:rPr>
          <w:t>Jombang</w:t>
        </w:r>
      </w:hyperlink>
      <w:r w:rsidRPr="009525BC">
        <w:rPr>
          <w:rFonts w:ascii="Times New Roman" w:eastAsia="Times New Roman" w:hAnsi="Times New Roman" w:cs="Times New Roman"/>
          <w:sz w:val="24"/>
          <w:szCs w:val="24"/>
        </w:rPr>
        <w:t xml:space="preserve">. Batu City borders </w:t>
      </w:r>
      <w:r w:rsidR="009525BC" w:rsidRPr="009525BC">
        <w:rPr>
          <w:rFonts w:ascii="Times New Roman" w:eastAsia="Times New Roman" w:hAnsi="Times New Roman" w:cs="Times New Roman"/>
          <w:sz w:val="24"/>
          <w:szCs w:val="24"/>
        </w:rPr>
        <w:t xml:space="preserve">on </w:t>
      </w:r>
      <w:hyperlink r:id="rId17">
        <w:r w:rsidR="009525BC" w:rsidRPr="009525BC">
          <w:rPr>
            <w:rFonts w:ascii="Times New Roman" w:eastAsia="Times New Roman" w:hAnsi="Times New Roman" w:cs="Times New Roman"/>
            <w:color w:val="000000"/>
            <w:sz w:val="24"/>
            <w:szCs w:val="24"/>
          </w:rPr>
          <w:t>Mojokerto Regency</w:t>
        </w:r>
      </w:hyperlink>
      <w:r w:rsidR="009525BC" w:rsidRPr="009525BC">
        <w:rPr>
          <w:rFonts w:ascii="Times New Roman" w:eastAsia="Times New Roman" w:hAnsi="Times New Roman" w:cs="Times New Roman"/>
          <w:sz w:val="24"/>
          <w:szCs w:val="24"/>
        </w:rPr>
        <w:t xml:space="preserve"> and </w:t>
      </w:r>
      <w:hyperlink r:id="rId18">
        <w:r w:rsidR="009525BC" w:rsidRPr="009525BC">
          <w:rPr>
            <w:rFonts w:ascii="Times New Roman" w:eastAsia="Times New Roman" w:hAnsi="Times New Roman" w:cs="Times New Roman"/>
            <w:color w:val="000000"/>
            <w:sz w:val="24"/>
            <w:szCs w:val="24"/>
          </w:rPr>
          <w:t xml:space="preserve">Pasuruan Regency </w:t>
        </w:r>
      </w:hyperlink>
      <w:r w:rsidR="009525BC" w:rsidRPr="009525BC">
        <w:rPr>
          <w:rFonts w:ascii="Times New Roman" w:eastAsia="Times New Roman" w:hAnsi="Times New Roman" w:cs="Times New Roman"/>
          <w:sz w:val="24"/>
          <w:szCs w:val="24"/>
        </w:rPr>
        <w:t>to</w:t>
      </w:r>
      <w:r w:rsidRPr="009525BC">
        <w:rPr>
          <w:rFonts w:ascii="Times New Roman" w:eastAsia="Times New Roman" w:hAnsi="Times New Roman" w:cs="Times New Roman"/>
          <w:sz w:val="24"/>
          <w:szCs w:val="24"/>
        </w:rPr>
        <w:t xml:space="preserve"> the north and </w:t>
      </w:r>
      <w:r w:rsidR="009525BC" w:rsidRPr="009525BC">
        <w:rPr>
          <w:rFonts w:ascii="Times New Roman" w:eastAsia="Times New Roman" w:hAnsi="Times New Roman" w:cs="Times New Roman"/>
          <w:sz w:val="24"/>
          <w:szCs w:val="24"/>
        </w:rPr>
        <w:t xml:space="preserve">with </w:t>
      </w:r>
      <w:hyperlink r:id="rId19">
        <w:r w:rsidR="009525BC" w:rsidRPr="009525BC">
          <w:rPr>
            <w:rFonts w:ascii="Times New Roman" w:eastAsia="Times New Roman" w:hAnsi="Times New Roman" w:cs="Times New Roman"/>
            <w:color w:val="000000"/>
            <w:sz w:val="24"/>
            <w:szCs w:val="24"/>
          </w:rPr>
          <w:t xml:space="preserve">Malang Regency </w:t>
        </w:r>
      </w:hyperlink>
      <w:r w:rsidR="009525BC" w:rsidRPr="009525BC">
        <w:rPr>
          <w:rFonts w:ascii="Times New Roman" w:eastAsia="Times New Roman" w:hAnsi="Times New Roman" w:cs="Times New Roman"/>
          <w:sz w:val="24"/>
          <w:szCs w:val="24"/>
        </w:rPr>
        <w:t>to</w:t>
      </w:r>
      <w:r w:rsidRPr="009525BC">
        <w:rPr>
          <w:rFonts w:ascii="Times New Roman" w:eastAsia="Times New Roman" w:hAnsi="Times New Roman" w:cs="Times New Roman"/>
          <w:sz w:val="24"/>
          <w:szCs w:val="24"/>
        </w:rPr>
        <w:t xml:space="preserve"> the east, south, and west. The city area is </w:t>
      </w:r>
      <w:r w:rsidR="009525BC">
        <w:rPr>
          <w:rFonts w:ascii="Times New Roman" w:eastAsia="Times New Roman" w:hAnsi="Times New Roman" w:cs="Times New Roman"/>
          <w:sz w:val="24"/>
          <w:szCs w:val="24"/>
        </w:rPr>
        <w:t>located at an altitude of 800-2,000 meters, with an average altitude of 980 meters above sea level, and an average air temperature of 11-19 degrees Celsius</w:t>
      </w:r>
      <w:r w:rsidRPr="009525BC">
        <w:rPr>
          <w:rFonts w:ascii="Times New Roman" w:eastAsia="Times New Roman" w:hAnsi="Times New Roman" w:cs="Times New Roman"/>
          <w:sz w:val="24"/>
          <w:szCs w:val="24"/>
        </w:rPr>
        <w:t>.</w:t>
      </w:r>
    </w:p>
    <w:p w14:paraId="5BF75ED7" w14:textId="50B3D89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The Batu City area is </w:t>
      </w:r>
      <w:r w:rsidR="009525BC">
        <w:rPr>
          <w:rFonts w:ascii="Times New Roman" w:eastAsia="Times New Roman" w:hAnsi="Times New Roman" w:cs="Times New Roman"/>
          <w:sz w:val="24"/>
          <w:szCs w:val="24"/>
        </w:rPr>
        <w:t>situated at the foot and slopes of the mountains, with an average altitude of 700-1,800 m above sea level and</w:t>
      </w:r>
      <w:r w:rsidRPr="009525BC">
        <w:rPr>
          <w:rFonts w:ascii="Times New Roman" w:eastAsia="Times New Roman" w:hAnsi="Times New Roman" w:cs="Times New Roman"/>
          <w:sz w:val="24"/>
          <w:szCs w:val="24"/>
        </w:rPr>
        <w:t xml:space="preserve"> an average air temperature of 11-22 degrees Celsius.</w:t>
      </w:r>
      <w:r w:rsidR="009525BC">
        <w:t xml:space="preserve"> With an area of ​​around 202.30 km², most of the topography of Batu City is dominated by highlands and hills,</w:t>
      </w:r>
      <w:r w:rsidRPr="009525BC">
        <w:rPr>
          <w:rFonts w:ascii="Times New Roman" w:eastAsia="Times New Roman" w:hAnsi="Times New Roman" w:cs="Times New Roman"/>
          <w:sz w:val="24"/>
          <w:szCs w:val="24"/>
        </w:rPr>
        <w:t xml:space="preserve"> with valleys located on two slopes.</w:t>
      </w:r>
      <w:hyperlink r:id="rId20">
        <w:r w:rsidR="009525BC">
          <w:rPr>
            <w:rFonts w:ascii="Times New Roman" w:eastAsia="Times New Roman" w:hAnsi="Times New Roman" w:cs="Times New Roman"/>
            <w:color w:val="000000"/>
            <w:sz w:val="24"/>
            <w:szCs w:val="24"/>
          </w:rPr>
          <w:t xml:space="preserve"> mountains</w:t>
        </w:r>
      </w:hyperlink>
      <w:r w:rsidR="009525BC">
        <w:t xml:space="preserve"> </w:t>
      </w:r>
      <w:r w:rsidRPr="009525BC">
        <w:rPr>
          <w:rFonts w:ascii="Times New Roman" w:eastAsia="Times New Roman" w:hAnsi="Times New Roman" w:cs="Times New Roman"/>
          <w:sz w:val="24"/>
          <w:szCs w:val="24"/>
        </w:rPr>
        <w:t xml:space="preserve">big, </w:t>
      </w:r>
      <w:r w:rsidR="009525BC">
        <w:rPr>
          <w:rFonts w:ascii="Times New Roman" w:eastAsia="Times New Roman" w:hAnsi="Times New Roman" w:cs="Times New Roman"/>
          <w:sz w:val="24"/>
          <w:szCs w:val="24"/>
        </w:rPr>
        <w:t>namely Arjuna-Sulfur And Blind-Kawi-Pandaman</w:t>
      </w:r>
      <w:r w:rsidRPr="009525BC">
        <w:rPr>
          <w:rFonts w:ascii="Times New Roman" w:eastAsia="Times New Roman" w:hAnsi="Times New Roman" w:cs="Times New Roman"/>
          <w:sz w:val="24"/>
          <w:szCs w:val="24"/>
        </w:rPr>
        <w:t>. In the Batu city area, which is located north of the city center, there is a dense forest which is a protected forest area, namely</w:t>
      </w:r>
      <w:r w:rsidR="009525BC">
        <w:rPr>
          <w:rFonts w:ascii="Times New Roman" w:eastAsia="Times New Roman" w:hAnsi="Times New Roman" w:cs="Times New Roman"/>
          <w:sz w:val="24"/>
          <w:szCs w:val="24"/>
        </w:rPr>
        <w:t xml:space="preserve"> </w:t>
      </w:r>
      <w:hyperlink r:id="rId21">
        <w:r w:rsidR="001E6F74" w:rsidRPr="009525BC">
          <w:rPr>
            <w:rFonts w:ascii="Times New Roman" w:eastAsia="Times New Roman" w:hAnsi="Times New Roman" w:cs="Times New Roman"/>
            <w:color w:val="000000"/>
            <w:sz w:val="24"/>
            <w:szCs w:val="24"/>
          </w:rPr>
          <w:t>Raden Soerjo Grand Forest Park</w:t>
        </w:r>
      </w:hyperlink>
      <w:r w:rsidRPr="009525BC">
        <w:rPr>
          <w:rFonts w:ascii="Times New Roman" w:eastAsia="Times New Roman" w:hAnsi="Times New Roman" w:cs="Times New Roman"/>
          <w:sz w:val="24"/>
          <w:szCs w:val="24"/>
        </w:rPr>
        <w:t>.</w:t>
      </w:r>
    </w:p>
    <w:p w14:paraId="3BFE4F3F" w14:textId="1E88EEE0"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lastRenderedPageBreak/>
        <w:t>Batu city tourism is one of the largest in Indonesia. The number of tourist visits to this city is one of the largest along with</w:t>
      </w:r>
      <w:r w:rsidR="009525BC">
        <w:rPr>
          <w:rFonts w:ascii="Times New Roman" w:eastAsia="Times New Roman" w:hAnsi="Times New Roman" w:cs="Times New Roman"/>
          <w:sz w:val="24"/>
          <w:szCs w:val="24"/>
        </w:rPr>
        <w:t xml:space="preserve"> </w:t>
      </w:r>
      <w:hyperlink r:id="rId22">
        <w:r w:rsidR="001E6F74" w:rsidRPr="009525BC">
          <w:rPr>
            <w:rFonts w:ascii="Times New Roman" w:eastAsia="Times New Roman" w:hAnsi="Times New Roman" w:cs="Times New Roman"/>
            <w:color w:val="000000"/>
            <w:sz w:val="24"/>
            <w:szCs w:val="24"/>
          </w:rPr>
          <w:t>Bali</w:t>
        </w:r>
      </w:hyperlink>
      <w:r w:rsidR="009525BC">
        <w:t xml:space="preserve"> </w:t>
      </w:r>
      <w:r w:rsidRPr="009525BC">
        <w:rPr>
          <w:rFonts w:ascii="Times New Roman" w:eastAsia="Times New Roman" w:hAnsi="Times New Roman" w:cs="Times New Roman"/>
          <w:sz w:val="24"/>
          <w:szCs w:val="24"/>
        </w:rPr>
        <w:t>And</w:t>
      </w:r>
      <w:r w:rsidR="009525BC">
        <w:rPr>
          <w:rFonts w:ascii="Times New Roman" w:eastAsia="Times New Roman" w:hAnsi="Times New Roman" w:cs="Times New Roman"/>
          <w:sz w:val="24"/>
          <w:szCs w:val="24"/>
        </w:rPr>
        <w:t xml:space="preserve"> </w:t>
      </w:r>
      <w:hyperlink r:id="rId23">
        <w:r w:rsidR="001E6F74" w:rsidRPr="009525BC">
          <w:rPr>
            <w:rFonts w:ascii="Times New Roman" w:eastAsia="Times New Roman" w:hAnsi="Times New Roman" w:cs="Times New Roman"/>
            <w:color w:val="000000"/>
            <w:sz w:val="24"/>
            <w:szCs w:val="24"/>
          </w:rPr>
          <w:t>Yogyakarta</w:t>
        </w:r>
      </w:hyperlink>
      <w:r w:rsidRPr="009525BC">
        <w:rPr>
          <w:rFonts w:ascii="Times New Roman" w:eastAsia="Times New Roman" w:hAnsi="Times New Roman" w:cs="Times New Roman"/>
          <w:sz w:val="24"/>
          <w:szCs w:val="24"/>
        </w:rPr>
        <w:t xml:space="preserve">. Batu city's tourist attractions are very diverse, from history, retail, education, to natural areas. Batu city has several shopping centers ranging from modern shopping centers to modern and traditional markets. Famous modern shopping centers in Batu </w:t>
      </w:r>
      <w:r w:rsidR="009525BC" w:rsidRPr="009525BC">
        <w:rPr>
          <w:rFonts w:ascii="Times New Roman" w:eastAsia="Times New Roman" w:hAnsi="Times New Roman" w:cs="Times New Roman"/>
          <w:sz w:val="24"/>
          <w:szCs w:val="24"/>
        </w:rPr>
        <w:t xml:space="preserve">include </w:t>
      </w:r>
      <w:r w:rsidR="009525BC">
        <w:t>Lippo Plaza Batu and</w:t>
      </w:r>
      <w:r w:rsidRPr="009525BC">
        <w:rPr>
          <w:rFonts w:ascii="Times New Roman" w:eastAsia="Times New Roman" w:hAnsi="Times New Roman" w:cs="Times New Roman"/>
          <w:sz w:val="24"/>
          <w:szCs w:val="24"/>
        </w:rPr>
        <w:t xml:space="preserve"> Plaza Batu, while the famous traditional market in Batu city is Pasar Batu. In addition, in Batu there are also</w:t>
      </w:r>
      <w:r w:rsidR="009525BC">
        <w:rPr>
          <w:rFonts w:ascii="Times New Roman" w:eastAsia="Times New Roman" w:hAnsi="Times New Roman" w:cs="Times New Roman"/>
          <w:sz w:val="24"/>
          <w:szCs w:val="24"/>
        </w:rPr>
        <w:t xml:space="preserve"> </w:t>
      </w:r>
      <w:hyperlink r:id="rId24">
        <w:r w:rsidR="001E6F74" w:rsidRPr="009525BC">
          <w:rPr>
            <w:rFonts w:ascii="Times New Roman" w:eastAsia="Times New Roman" w:hAnsi="Times New Roman" w:cs="Times New Roman"/>
            <w:color w:val="000000"/>
            <w:sz w:val="24"/>
            <w:szCs w:val="24"/>
          </w:rPr>
          <w:t>floating market</w:t>
        </w:r>
      </w:hyperlink>
      <w:r w:rsidR="009525BC">
        <w:t xml:space="preserve"> </w:t>
      </w:r>
      <w:r w:rsidRPr="009525BC">
        <w:rPr>
          <w:rFonts w:ascii="Times New Roman" w:eastAsia="Times New Roman" w:hAnsi="Times New Roman" w:cs="Times New Roman"/>
          <w:sz w:val="24"/>
          <w:szCs w:val="24"/>
        </w:rPr>
        <w:t>which is called the Nusantara Floating Market which makes it the first floating market in East Java. The Nusantara Floating Market complex is part of the Museum Angkut tourist complex in Batu City.</w:t>
      </w:r>
    </w:p>
    <w:p w14:paraId="2633085E"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economy of Batu City in 2023 as measured by Gross Regional Domestic Product (GRDP) at current prices reached IDR 20,524.32 billion, while GRDP at constant prices reached IDR 12,934.60 billion. The economic growth of Batu City in 2023 moved positively, namely 6.19 percent. When viewed from the production side, the Other Service Business Field experienced the highest growth, namely 9.92 percent, while from the expenditure side, the LNPRT Consumption Expenditure Component experienced the highest growth, namely 6.14 percent. „ The economic structure of Batu City in 2023 is dominated by the distribution of Wholesale and Retail Trade business fields; Car and Motorcycle Repair by 18.84 percent, Other Services business field by 15.70 percent, Agriculture, Forestry, and Fisheries business field by 15.14 percent, Construction business field by 12.77 percent, and followed by Accommodation and Food and Beverage Provision business field by 10.53 percent. These five types of business fields contributed to the economy of Batu City in 2023 by 72.98 percent.</w:t>
      </w:r>
    </w:p>
    <w:p w14:paraId="0ED4C7E2"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research was conducted by census of 103 employees of Anak Garuda Shop by distributing questionnaires, obtained 100 respondents whose data could be processed, while 2 employees' data were not perfect. The identity of the research respondents can be described through descriptive statistics in the single table below,</w:t>
      </w:r>
    </w:p>
    <w:p w14:paraId="1404D264" w14:textId="77777777" w:rsidR="00493FF0" w:rsidRPr="009525BC" w:rsidRDefault="00493FF0">
      <w:pPr>
        <w:spacing w:after="0" w:line="276" w:lineRule="auto"/>
        <w:ind w:firstLine="709"/>
        <w:jc w:val="both"/>
        <w:rPr>
          <w:rFonts w:ascii="Times New Roman" w:eastAsia="Times New Roman" w:hAnsi="Times New Roman" w:cs="Times New Roman"/>
          <w:sz w:val="24"/>
          <w:szCs w:val="24"/>
        </w:rPr>
      </w:pPr>
    </w:p>
    <w:p w14:paraId="1807FD07" w14:textId="77777777" w:rsidR="001E6F74" w:rsidRPr="009525BC" w:rsidRDefault="00000000">
      <w:pPr>
        <w:spacing w:after="0" w:line="276" w:lineRule="auto"/>
        <w:ind w:firstLine="20"/>
        <w:jc w:val="center"/>
        <w:rPr>
          <w:rFonts w:ascii="Times New Roman" w:eastAsia="Times New Roman" w:hAnsi="Times New Roman" w:cs="Times New Roman"/>
          <w:b/>
          <w:sz w:val="24"/>
          <w:szCs w:val="24"/>
        </w:rPr>
      </w:pPr>
      <w:r w:rsidRPr="009525BC">
        <w:rPr>
          <w:rFonts w:ascii="Times New Roman" w:eastAsia="Times New Roman" w:hAnsi="Times New Roman" w:cs="Times New Roman"/>
          <w:b/>
          <w:color w:val="000000"/>
          <w:sz w:val="24"/>
          <w:szCs w:val="24"/>
        </w:rPr>
        <w:t>Table 1. Respondents' Gender</w:t>
      </w:r>
    </w:p>
    <w:tbl>
      <w:tblPr>
        <w:tblW w:w="5000" w:type="pct"/>
        <w:jc w:val="center"/>
        <w:tblBorders>
          <w:top w:val="single" w:sz="4" w:space="0" w:color="auto"/>
          <w:bottom w:val="single" w:sz="4" w:space="0" w:color="auto"/>
          <w:insideH w:val="single" w:sz="4" w:space="0" w:color="auto"/>
        </w:tblBorders>
        <w:tblCellMar>
          <w:top w:w="15" w:type="dxa"/>
          <w:left w:w="15" w:type="dxa"/>
          <w:bottom w:w="15" w:type="dxa"/>
          <w:right w:w="15" w:type="dxa"/>
        </w:tblCellMar>
        <w:tblLook w:val="0400" w:firstRow="0" w:lastRow="0" w:firstColumn="0" w:lastColumn="0" w:noHBand="0" w:noVBand="1"/>
      </w:tblPr>
      <w:tblGrid>
        <w:gridCol w:w="2350"/>
        <w:gridCol w:w="2473"/>
        <w:gridCol w:w="3114"/>
      </w:tblGrid>
      <w:tr w:rsidR="001E6F74" w:rsidRPr="009525BC" w14:paraId="021D4EC0" w14:textId="77777777" w:rsidTr="00BC747F">
        <w:trPr>
          <w:jc w:val="center"/>
        </w:trPr>
        <w:tc>
          <w:tcPr>
            <w:tcW w:w="1480" w:type="pct"/>
            <w:tcMar>
              <w:top w:w="0" w:type="dxa"/>
              <w:left w:w="108" w:type="dxa"/>
              <w:bottom w:w="0" w:type="dxa"/>
              <w:right w:w="108" w:type="dxa"/>
            </w:tcMar>
          </w:tcPr>
          <w:p w14:paraId="0582BFF3"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Gender</w:t>
            </w:r>
          </w:p>
        </w:tc>
        <w:tc>
          <w:tcPr>
            <w:tcW w:w="1558" w:type="pct"/>
            <w:tcMar>
              <w:top w:w="0" w:type="dxa"/>
              <w:left w:w="108" w:type="dxa"/>
              <w:bottom w:w="0" w:type="dxa"/>
              <w:right w:w="108" w:type="dxa"/>
            </w:tcMar>
          </w:tcPr>
          <w:p w14:paraId="040A8EEB"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Amount</w:t>
            </w:r>
          </w:p>
        </w:tc>
        <w:tc>
          <w:tcPr>
            <w:tcW w:w="1962" w:type="pct"/>
            <w:tcMar>
              <w:top w:w="0" w:type="dxa"/>
              <w:left w:w="108" w:type="dxa"/>
              <w:bottom w:w="0" w:type="dxa"/>
              <w:right w:w="108" w:type="dxa"/>
            </w:tcMar>
          </w:tcPr>
          <w:p w14:paraId="24198558"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percentage</w:t>
            </w:r>
          </w:p>
        </w:tc>
      </w:tr>
      <w:tr w:rsidR="001E6F74" w:rsidRPr="009525BC" w14:paraId="2B7FC096" w14:textId="77777777" w:rsidTr="00BC747F">
        <w:trPr>
          <w:jc w:val="center"/>
        </w:trPr>
        <w:tc>
          <w:tcPr>
            <w:tcW w:w="1480" w:type="pct"/>
            <w:tcMar>
              <w:top w:w="0" w:type="dxa"/>
              <w:left w:w="108" w:type="dxa"/>
              <w:bottom w:w="0" w:type="dxa"/>
              <w:right w:w="108" w:type="dxa"/>
            </w:tcMar>
          </w:tcPr>
          <w:p w14:paraId="3962BDB1"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Woman</w:t>
            </w:r>
          </w:p>
        </w:tc>
        <w:tc>
          <w:tcPr>
            <w:tcW w:w="1558" w:type="pct"/>
            <w:tcMar>
              <w:top w:w="0" w:type="dxa"/>
              <w:left w:w="108" w:type="dxa"/>
              <w:bottom w:w="0" w:type="dxa"/>
              <w:right w:w="108" w:type="dxa"/>
            </w:tcMar>
          </w:tcPr>
          <w:p w14:paraId="1C141402"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67</w:t>
            </w:r>
          </w:p>
        </w:tc>
        <w:tc>
          <w:tcPr>
            <w:tcW w:w="1962" w:type="pct"/>
            <w:tcMar>
              <w:top w:w="0" w:type="dxa"/>
              <w:left w:w="108" w:type="dxa"/>
              <w:bottom w:w="0" w:type="dxa"/>
              <w:right w:w="108" w:type="dxa"/>
            </w:tcMar>
          </w:tcPr>
          <w:p w14:paraId="49506000"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67</w:t>
            </w:r>
          </w:p>
        </w:tc>
      </w:tr>
      <w:tr w:rsidR="001E6F74" w:rsidRPr="009525BC" w14:paraId="2A4C3F70" w14:textId="77777777" w:rsidTr="00BC747F">
        <w:trPr>
          <w:jc w:val="center"/>
        </w:trPr>
        <w:tc>
          <w:tcPr>
            <w:tcW w:w="1480" w:type="pct"/>
            <w:tcMar>
              <w:top w:w="0" w:type="dxa"/>
              <w:left w:w="108" w:type="dxa"/>
              <w:bottom w:w="0" w:type="dxa"/>
              <w:right w:w="108" w:type="dxa"/>
            </w:tcMar>
          </w:tcPr>
          <w:p w14:paraId="5F0BF323"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Man</w:t>
            </w:r>
          </w:p>
        </w:tc>
        <w:tc>
          <w:tcPr>
            <w:tcW w:w="1558" w:type="pct"/>
            <w:tcMar>
              <w:top w:w="0" w:type="dxa"/>
              <w:left w:w="108" w:type="dxa"/>
              <w:bottom w:w="0" w:type="dxa"/>
              <w:right w:w="108" w:type="dxa"/>
            </w:tcMar>
          </w:tcPr>
          <w:p w14:paraId="687B6BD7"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33</w:t>
            </w:r>
          </w:p>
        </w:tc>
        <w:tc>
          <w:tcPr>
            <w:tcW w:w="1962" w:type="pct"/>
            <w:tcMar>
              <w:top w:w="0" w:type="dxa"/>
              <w:left w:w="108" w:type="dxa"/>
              <w:bottom w:w="0" w:type="dxa"/>
              <w:right w:w="108" w:type="dxa"/>
            </w:tcMar>
          </w:tcPr>
          <w:p w14:paraId="61E5070C"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33</w:t>
            </w:r>
          </w:p>
        </w:tc>
      </w:tr>
      <w:tr w:rsidR="001E6F74" w:rsidRPr="009525BC" w14:paraId="4393D672" w14:textId="77777777" w:rsidTr="00BC747F">
        <w:trPr>
          <w:jc w:val="center"/>
        </w:trPr>
        <w:tc>
          <w:tcPr>
            <w:tcW w:w="1480" w:type="pct"/>
            <w:tcMar>
              <w:top w:w="0" w:type="dxa"/>
              <w:left w:w="108" w:type="dxa"/>
              <w:bottom w:w="0" w:type="dxa"/>
              <w:right w:w="108" w:type="dxa"/>
            </w:tcMar>
          </w:tcPr>
          <w:p w14:paraId="4A2A6AA1"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Amount</w:t>
            </w:r>
          </w:p>
        </w:tc>
        <w:tc>
          <w:tcPr>
            <w:tcW w:w="1558" w:type="pct"/>
            <w:tcMar>
              <w:top w:w="0" w:type="dxa"/>
              <w:left w:w="108" w:type="dxa"/>
              <w:bottom w:w="0" w:type="dxa"/>
              <w:right w:w="108" w:type="dxa"/>
            </w:tcMar>
          </w:tcPr>
          <w:p w14:paraId="58496C24"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c>
          <w:tcPr>
            <w:tcW w:w="1962" w:type="pct"/>
            <w:tcMar>
              <w:top w:w="0" w:type="dxa"/>
              <w:left w:w="108" w:type="dxa"/>
              <w:bottom w:w="0" w:type="dxa"/>
              <w:right w:w="108" w:type="dxa"/>
            </w:tcMar>
          </w:tcPr>
          <w:p w14:paraId="13C69020"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r>
    </w:tbl>
    <w:p w14:paraId="19969D72"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4222E393"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the table above, it shows that Anak Agung Shop employees engaged in retail trade, the involvement of women seems to be very much needed because of better interpersonal communication skills. So it can be said that the role of women is more dominant in the progress and performance of the company. </w:t>
      </w:r>
      <w:r w:rsidRPr="009525BC">
        <w:rPr>
          <w:rFonts w:ascii="Times New Roman" w:eastAsia="Times New Roman" w:hAnsi="Times New Roman" w:cs="Times New Roman"/>
          <w:sz w:val="24"/>
          <w:szCs w:val="24"/>
        </w:rPr>
        <w:lastRenderedPageBreak/>
        <w:t>Meanwhile, based on the length of service, Anak Agung shop employees can be categorized into the following categories of their working time span:</w:t>
      </w:r>
    </w:p>
    <w:p w14:paraId="4F814AFA" w14:textId="77777777" w:rsidR="00493FF0" w:rsidRPr="009525BC" w:rsidRDefault="00493FF0">
      <w:pPr>
        <w:spacing w:after="0" w:line="276" w:lineRule="auto"/>
        <w:ind w:firstLine="709"/>
        <w:jc w:val="both"/>
        <w:rPr>
          <w:rFonts w:ascii="Times New Roman" w:eastAsia="Times New Roman" w:hAnsi="Times New Roman" w:cs="Times New Roman"/>
          <w:sz w:val="24"/>
          <w:szCs w:val="24"/>
        </w:rPr>
      </w:pPr>
    </w:p>
    <w:p w14:paraId="2E264B16" w14:textId="77777777" w:rsidR="001E6F74" w:rsidRPr="009525BC" w:rsidRDefault="00000000">
      <w:pPr>
        <w:spacing w:after="0" w:line="276" w:lineRule="auto"/>
        <w:ind w:firstLine="20"/>
        <w:jc w:val="center"/>
        <w:rPr>
          <w:rFonts w:ascii="Times New Roman" w:eastAsia="Times New Roman" w:hAnsi="Times New Roman" w:cs="Times New Roman"/>
          <w:b/>
          <w:sz w:val="24"/>
          <w:szCs w:val="24"/>
        </w:rPr>
      </w:pPr>
      <w:r w:rsidRPr="009525BC">
        <w:rPr>
          <w:rFonts w:ascii="Times New Roman" w:eastAsia="Times New Roman" w:hAnsi="Times New Roman" w:cs="Times New Roman"/>
          <w:b/>
          <w:color w:val="000000"/>
          <w:sz w:val="24"/>
          <w:szCs w:val="24"/>
        </w:rPr>
        <w:t>Table 2. Working Time Range</w:t>
      </w:r>
    </w:p>
    <w:tbl>
      <w:tblPr>
        <w:tblW w:w="5000" w:type="pct"/>
        <w:jc w:val="center"/>
        <w:tblBorders>
          <w:top w:val="single" w:sz="4" w:space="0" w:color="auto"/>
          <w:bottom w:val="single" w:sz="4" w:space="0" w:color="auto"/>
          <w:insideH w:val="single" w:sz="4" w:space="0" w:color="auto"/>
        </w:tblBorders>
        <w:tblCellMar>
          <w:top w:w="15" w:type="dxa"/>
          <w:left w:w="15" w:type="dxa"/>
          <w:bottom w:w="15" w:type="dxa"/>
          <w:right w:w="15" w:type="dxa"/>
        </w:tblCellMar>
        <w:tblLook w:val="0400" w:firstRow="0" w:lastRow="0" w:firstColumn="0" w:lastColumn="0" w:noHBand="0" w:noVBand="1"/>
      </w:tblPr>
      <w:tblGrid>
        <w:gridCol w:w="3983"/>
        <w:gridCol w:w="1741"/>
        <w:gridCol w:w="2213"/>
      </w:tblGrid>
      <w:tr w:rsidR="001E6F74" w:rsidRPr="009525BC" w14:paraId="1E57EBF7" w14:textId="77777777" w:rsidTr="00BC747F">
        <w:trPr>
          <w:jc w:val="center"/>
        </w:trPr>
        <w:tc>
          <w:tcPr>
            <w:tcW w:w="2509" w:type="pct"/>
            <w:tcMar>
              <w:top w:w="0" w:type="dxa"/>
              <w:left w:w="108" w:type="dxa"/>
              <w:bottom w:w="0" w:type="dxa"/>
              <w:right w:w="108" w:type="dxa"/>
            </w:tcMar>
          </w:tcPr>
          <w:p w14:paraId="0E1B64E9"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Working Time Range</w:t>
            </w:r>
          </w:p>
        </w:tc>
        <w:tc>
          <w:tcPr>
            <w:tcW w:w="1097" w:type="pct"/>
            <w:tcMar>
              <w:top w:w="0" w:type="dxa"/>
              <w:left w:w="108" w:type="dxa"/>
              <w:bottom w:w="0" w:type="dxa"/>
              <w:right w:w="108" w:type="dxa"/>
            </w:tcMar>
          </w:tcPr>
          <w:p w14:paraId="4BFAF0EC"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Amount</w:t>
            </w:r>
          </w:p>
        </w:tc>
        <w:tc>
          <w:tcPr>
            <w:tcW w:w="1394" w:type="pct"/>
            <w:tcMar>
              <w:top w:w="0" w:type="dxa"/>
              <w:left w:w="108" w:type="dxa"/>
              <w:bottom w:w="0" w:type="dxa"/>
              <w:right w:w="108" w:type="dxa"/>
            </w:tcMar>
          </w:tcPr>
          <w:p w14:paraId="74F96300" w14:textId="77777777" w:rsidR="001E6F74" w:rsidRPr="009525BC" w:rsidRDefault="00000000" w:rsidP="00AA3964">
            <w:pPr>
              <w:spacing w:after="0" w:line="276" w:lineRule="auto"/>
              <w:ind w:firstLine="20"/>
              <w:jc w:val="both"/>
              <w:rPr>
                <w:rFonts w:ascii="Times New Roman" w:eastAsia="Times New Roman" w:hAnsi="Times New Roman" w:cs="Times New Roman"/>
                <w:b/>
                <w:bCs/>
                <w:sz w:val="24"/>
                <w:szCs w:val="24"/>
              </w:rPr>
            </w:pPr>
            <w:r w:rsidRPr="009525BC">
              <w:rPr>
                <w:rFonts w:ascii="Times New Roman" w:eastAsia="Times New Roman" w:hAnsi="Times New Roman" w:cs="Times New Roman"/>
                <w:b/>
                <w:bCs/>
                <w:color w:val="000000"/>
                <w:sz w:val="24"/>
                <w:szCs w:val="24"/>
              </w:rPr>
              <w:t>Percentage</w:t>
            </w:r>
          </w:p>
        </w:tc>
      </w:tr>
      <w:tr w:rsidR="001E6F74" w:rsidRPr="009525BC" w14:paraId="4C292B14" w14:textId="77777777" w:rsidTr="00BC747F">
        <w:trPr>
          <w:jc w:val="center"/>
        </w:trPr>
        <w:tc>
          <w:tcPr>
            <w:tcW w:w="2509" w:type="pct"/>
            <w:tcMar>
              <w:top w:w="0" w:type="dxa"/>
              <w:left w:w="108" w:type="dxa"/>
              <w:bottom w:w="0" w:type="dxa"/>
              <w:right w:w="108" w:type="dxa"/>
            </w:tcMar>
          </w:tcPr>
          <w:p w14:paraId="2E042B0A"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&gt;1 month to 2 years</w:t>
            </w:r>
          </w:p>
        </w:tc>
        <w:tc>
          <w:tcPr>
            <w:tcW w:w="1097" w:type="pct"/>
            <w:tcMar>
              <w:top w:w="0" w:type="dxa"/>
              <w:left w:w="108" w:type="dxa"/>
              <w:bottom w:w="0" w:type="dxa"/>
              <w:right w:w="108" w:type="dxa"/>
            </w:tcMar>
          </w:tcPr>
          <w:p w14:paraId="70F3DCF8"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45</w:t>
            </w:r>
          </w:p>
        </w:tc>
        <w:tc>
          <w:tcPr>
            <w:tcW w:w="1394" w:type="pct"/>
            <w:tcMar>
              <w:top w:w="0" w:type="dxa"/>
              <w:left w:w="108" w:type="dxa"/>
              <w:bottom w:w="0" w:type="dxa"/>
              <w:right w:w="108" w:type="dxa"/>
            </w:tcMar>
          </w:tcPr>
          <w:p w14:paraId="56711B17"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45</w:t>
            </w:r>
          </w:p>
        </w:tc>
      </w:tr>
      <w:tr w:rsidR="001E6F74" w:rsidRPr="009525BC" w14:paraId="0446FAC0" w14:textId="77777777" w:rsidTr="00BC747F">
        <w:trPr>
          <w:jc w:val="center"/>
        </w:trPr>
        <w:tc>
          <w:tcPr>
            <w:tcW w:w="2509" w:type="pct"/>
            <w:tcMar>
              <w:top w:w="0" w:type="dxa"/>
              <w:left w:w="108" w:type="dxa"/>
              <w:bottom w:w="0" w:type="dxa"/>
              <w:right w:w="108" w:type="dxa"/>
            </w:tcMar>
          </w:tcPr>
          <w:p w14:paraId="6266836B"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&gt;2 hn up to 3 years</w:t>
            </w:r>
          </w:p>
        </w:tc>
        <w:tc>
          <w:tcPr>
            <w:tcW w:w="1097" w:type="pct"/>
            <w:tcMar>
              <w:top w:w="0" w:type="dxa"/>
              <w:left w:w="108" w:type="dxa"/>
              <w:bottom w:w="0" w:type="dxa"/>
              <w:right w:w="108" w:type="dxa"/>
            </w:tcMar>
          </w:tcPr>
          <w:p w14:paraId="11CC81F5"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20</w:t>
            </w:r>
          </w:p>
        </w:tc>
        <w:tc>
          <w:tcPr>
            <w:tcW w:w="1394" w:type="pct"/>
            <w:tcMar>
              <w:top w:w="0" w:type="dxa"/>
              <w:left w:w="108" w:type="dxa"/>
              <w:bottom w:w="0" w:type="dxa"/>
              <w:right w:w="108" w:type="dxa"/>
            </w:tcMar>
          </w:tcPr>
          <w:p w14:paraId="6DA23E90"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20</w:t>
            </w:r>
          </w:p>
        </w:tc>
      </w:tr>
      <w:tr w:rsidR="001E6F74" w:rsidRPr="009525BC" w14:paraId="3573AC37" w14:textId="77777777" w:rsidTr="00BC747F">
        <w:trPr>
          <w:jc w:val="center"/>
        </w:trPr>
        <w:tc>
          <w:tcPr>
            <w:tcW w:w="2509" w:type="pct"/>
            <w:tcMar>
              <w:top w:w="0" w:type="dxa"/>
              <w:left w:w="108" w:type="dxa"/>
              <w:bottom w:w="0" w:type="dxa"/>
              <w:right w:w="108" w:type="dxa"/>
            </w:tcMar>
          </w:tcPr>
          <w:p w14:paraId="320E4289"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&gt; 3 years</w:t>
            </w:r>
          </w:p>
        </w:tc>
        <w:tc>
          <w:tcPr>
            <w:tcW w:w="1097" w:type="pct"/>
            <w:tcMar>
              <w:top w:w="0" w:type="dxa"/>
              <w:left w:w="108" w:type="dxa"/>
              <w:bottom w:w="0" w:type="dxa"/>
              <w:right w:w="108" w:type="dxa"/>
            </w:tcMar>
          </w:tcPr>
          <w:p w14:paraId="681B50BE"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c>
          <w:tcPr>
            <w:tcW w:w="1394" w:type="pct"/>
            <w:tcMar>
              <w:top w:w="0" w:type="dxa"/>
              <w:left w:w="108" w:type="dxa"/>
              <w:bottom w:w="0" w:type="dxa"/>
              <w:right w:w="108" w:type="dxa"/>
            </w:tcMar>
          </w:tcPr>
          <w:p w14:paraId="7AF57418"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r>
      <w:tr w:rsidR="001E6F74" w:rsidRPr="009525BC" w14:paraId="4238E415" w14:textId="77777777" w:rsidTr="00BC747F">
        <w:trPr>
          <w:jc w:val="center"/>
        </w:trPr>
        <w:tc>
          <w:tcPr>
            <w:tcW w:w="2509" w:type="pct"/>
            <w:tcMar>
              <w:top w:w="0" w:type="dxa"/>
              <w:left w:w="108" w:type="dxa"/>
              <w:bottom w:w="0" w:type="dxa"/>
              <w:right w:w="108" w:type="dxa"/>
            </w:tcMar>
          </w:tcPr>
          <w:p w14:paraId="31A2783F"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Amount</w:t>
            </w:r>
          </w:p>
        </w:tc>
        <w:tc>
          <w:tcPr>
            <w:tcW w:w="1097" w:type="pct"/>
            <w:tcMar>
              <w:top w:w="0" w:type="dxa"/>
              <w:left w:w="108" w:type="dxa"/>
              <w:bottom w:w="0" w:type="dxa"/>
              <w:right w:w="108" w:type="dxa"/>
            </w:tcMar>
          </w:tcPr>
          <w:p w14:paraId="40EBE08E"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c>
          <w:tcPr>
            <w:tcW w:w="1394" w:type="pct"/>
            <w:tcMar>
              <w:top w:w="0" w:type="dxa"/>
              <w:left w:w="108" w:type="dxa"/>
              <w:bottom w:w="0" w:type="dxa"/>
              <w:right w:w="108" w:type="dxa"/>
            </w:tcMar>
          </w:tcPr>
          <w:p w14:paraId="34126EFE"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r>
    </w:tbl>
    <w:p w14:paraId="1B92E35B"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6D28D8D9"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Based on the table above, it shows that the employee's work period is mostly in the range of 1 month to 2 years. This shows that most employees are new employees. The distribution of the data also provides an indicator of the company's significant development. Meanwhile, when viewed from the aspect of the distance between the workplace and the employee's domicile, several studies have shown a relevance to employee performance.</w:t>
      </w:r>
    </w:p>
    <w:p w14:paraId="5313DEEA" w14:textId="77777777" w:rsidR="00493FF0" w:rsidRPr="009525BC" w:rsidRDefault="00493FF0">
      <w:pPr>
        <w:spacing w:after="0" w:line="276" w:lineRule="auto"/>
        <w:ind w:firstLine="20"/>
        <w:jc w:val="center"/>
        <w:rPr>
          <w:rFonts w:ascii="Times New Roman" w:eastAsia="Times New Roman" w:hAnsi="Times New Roman" w:cs="Times New Roman"/>
          <w:b/>
          <w:color w:val="000000"/>
          <w:sz w:val="24"/>
          <w:szCs w:val="24"/>
        </w:rPr>
      </w:pPr>
    </w:p>
    <w:p w14:paraId="3C5B8801" w14:textId="77777777" w:rsidR="001E6F74" w:rsidRPr="009525BC" w:rsidRDefault="00000000">
      <w:pPr>
        <w:spacing w:after="0" w:line="276" w:lineRule="auto"/>
        <w:ind w:firstLine="20"/>
        <w:jc w:val="center"/>
        <w:rPr>
          <w:rFonts w:ascii="Times New Roman" w:eastAsia="Times New Roman" w:hAnsi="Times New Roman" w:cs="Times New Roman"/>
          <w:b/>
          <w:sz w:val="24"/>
          <w:szCs w:val="24"/>
        </w:rPr>
      </w:pPr>
      <w:r w:rsidRPr="009525BC">
        <w:rPr>
          <w:rFonts w:ascii="Times New Roman" w:eastAsia="Times New Roman" w:hAnsi="Times New Roman" w:cs="Times New Roman"/>
          <w:b/>
          <w:color w:val="000000"/>
          <w:sz w:val="24"/>
          <w:szCs w:val="24"/>
        </w:rPr>
        <w:t>Table 3. Workplace distance range</w:t>
      </w:r>
    </w:p>
    <w:tbl>
      <w:tblPr>
        <w:tblW w:w="5000" w:type="pct"/>
        <w:jc w:val="center"/>
        <w:tblBorders>
          <w:top w:val="single" w:sz="4" w:space="0" w:color="000000"/>
          <w:bottom w:val="single" w:sz="4" w:space="0" w:color="000000"/>
          <w:insideH w:val="single" w:sz="4" w:space="0" w:color="000000"/>
        </w:tblBorders>
        <w:tblCellMar>
          <w:top w:w="15" w:type="dxa"/>
          <w:left w:w="15" w:type="dxa"/>
          <w:bottom w:w="15" w:type="dxa"/>
          <w:right w:w="15" w:type="dxa"/>
        </w:tblCellMar>
        <w:tblLook w:val="0400" w:firstRow="0" w:lastRow="0" w:firstColumn="0" w:lastColumn="0" w:noHBand="0" w:noVBand="1"/>
      </w:tblPr>
      <w:tblGrid>
        <w:gridCol w:w="3498"/>
        <w:gridCol w:w="1986"/>
        <w:gridCol w:w="2453"/>
      </w:tblGrid>
      <w:tr w:rsidR="001E6F74" w:rsidRPr="009525BC" w14:paraId="0FD99952" w14:textId="77777777" w:rsidTr="00BC747F">
        <w:trPr>
          <w:jc w:val="center"/>
        </w:trPr>
        <w:tc>
          <w:tcPr>
            <w:tcW w:w="2204" w:type="pct"/>
            <w:tcMar>
              <w:top w:w="0" w:type="dxa"/>
              <w:left w:w="108" w:type="dxa"/>
              <w:bottom w:w="0" w:type="dxa"/>
              <w:right w:w="108" w:type="dxa"/>
            </w:tcMar>
          </w:tcPr>
          <w:p w14:paraId="1E7D75C4"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Range</w:t>
            </w:r>
          </w:p>
        </w:tc>
        <w:tc>
          <w:tcPr>
            <w:tcW w:w="1251" w:type="pct"/>
            <w:tcMar>
              <w:top w:w="0" w:type="dxa"/>
              <w:left w:w="108" w:type="dxa"/>
              <w:bottom w:w="0" w:type="dxa"/>
              <w:right w:w="108" w:type="dxa"/>
            </w:tcMar>
          </w:tcPr>
          <w:p w14:paraId="4E1BAD27"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Amount</w:t>
            </w:r>
          </w:p>
        </w:tc>
        <w:tc>
          <w:tcPr>
            <w:tcW w:w="1545" w:type="pct"/>
            <w:tcMar>
              <w:top w:w="0" w:type="dxa"/>
              <w:left w:w="108" w:type="dxa"/>
              <w:bottom w:w="0" w:type="dxa"/>
              <w:right w:w="108" w:type="dxa"/>
            </w:tcMar>
          </w:tcPr>
          <w:p w14:paraId="16CE9FEA"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Percentage</w:t>
            </w:r>
          </w:p>
        </w:tc>
      </w:tr>
      <w:tr w:rsidR="001E6F74" w:rsidRPr="009525BC" w14:paraId="0D7708C2" w14:textId="77777777" w:rsidTr="00BC747F">
        <w:trPr>
          <w:jc w:val="center"/>
        </w:trPr>
        <w:tc>
          <w:tcPr>
            <w:tcW w:w="2204" w:type="pct"/>
            <w:tcMar>
              <w:top w:w="0" w:type="dxa"/>
              <w:left w:w="108" w:type="dxa"/>
              <w:bottom w:w="0" w:type="dxa"/>
              <w:right w:w="108" w:type="dxa"/>
            </w:tcMar>
          </w:tcPr>
          <w:p w14:paraId="29DB92F1"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1km to 2km</w:t>
            </w:r>
          </w:p>
        </w:tc>
        <w:tc>
          <w:tcPr>
            <w:tcW w:w="1251" w:type="pct"/>
            <w:tcMar>
              <w:top w:w="0" w:type="dxa"/>
              <w:left w:w="108" w:type="dxa"/>
              <w:bottom w:w="0" w:type="dxa"/>
              <w:right w:w="108" w:type="dxa"/>
            </w:tcMar>
          </w:tcPr>
          <w:p w14:paraId="67A0EB35"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30</w:t>
            </w:r>
          </w:p>
        </w:tc>
        <w:tc>
          <w:tcPr>
            <w:tcW w:w="1545" w:type="pct"/>
            <w:tcMar>
              <w:top w:w="0" w:type="dxa"/>
              <w:left w:w="108" w:type="dxa"/>
              <w:bottom w:w="0" w:type="dxa"/>
              <w:right w:w="108" w:type="dxa"/>
            </w:tcMar>
          </w:tcPr>
          <w:p w14:paraId="236C5148"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30</w:t>
            </w:r>
          </w:p>
        </w:tc>
      </w:tr>
      <w:tr w:rsidR="001E6F74" w:rsidRPr="009525BC" w14:paraId="34A33D4B" w14:textId="77777777" w:rsidTr="00BC747F">
        <w:trPr>
          <w:jc w:val="center"/>
        </w:trPr>
        <w:tc>
          <w:tcPr>
            <w:tcW w:w="2204" w:type="pct"/>
            <w:tcMar>
              <w:top w:w="0" w:type="dxa"/>
              <w:left w:w="108" w:type="dxa"/>
              <w:bottom w:w="0" w:type="dxa"/>
              <w:right w:w="108" w:type="dxa"/>
            </w:tcMar>
          </w:tcPr>
          <w:p w14:paraId="2A97A689"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&gt; 2 km to 4 km</w:t>
            </w:r>
          </w:p>
        </w:tc>
        <w:tc>
          <w:tcPr>
            <w:tcW w:w="1251" w:type="pct"/>
            <w:tcMar>
              <w:top w:w="0" w:type="dxa"/>
              <w:left w:w="108" w:type="dxa"/>
              <w:bottom w:w="0" w:type="dxa"/>
              <w:right w:w="108" w:type="dxa"/>
            </w:tcMar>
          </w:tcPr>
          <w:p w14:paraId="16DCA81E"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c>
          <w:tcPr>
            <w:tcW w:w="1545" w:type="pct"/>
            <w:tcMar>
              <w:top w:w="0" w:type="dxa"/>
              <w:left w:w="108" w:type="dxa"/>
              <w:bottom w:w="0" w:type="dxa"/>
              <w:right w:w="108" w:type="dxa"/>
            </w:tcMar>
          </w:tcPr>
          <w:p w14:paraId="2A2A5247"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r>
      <w:tr w:rsidR="001E6F74" w:rsidRPr="009525BC" w14:paraId="2E02BEE8" w14:textId="77777777" w:rsidTr="00BC747F">
        <w:trPr>
          <w:jc w:val="center"/>
        </w:trPr>
        <w:tc>
          <w:tcPr>
            <w:tcW w:w="2204" w:type="pct"/>
            <w:tcMar>
              <w:top w:w="0" w:type="dxa"/>
              <w:left w:w="108" w:type="dxa"/>
              <w:bottom w:w="0" w:type="dxa"/>
              <w:right w:w="108" w:type="dxa"/>
            </w:tcMar>
          </w:tcPr>
          <w:p w14:paraId="7573355E"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&gt; 4 Km</w:t>
            </w:r>
          </w:p>
        </w:tc>
        <w:tc>
          <w:tcPr>
            <w:tcW w:w="1251" w:type="pct"/>
            <w:tcMar>
              <w:top w:w="0" w:type="dxa"/>
              <w:left w:w="108" w:type="dxa"/>
              <w:bottom w:w="0" w:type="dxa"/>
              <w:right w:w="108" w:type="dxa"/>
            </w:tcMar>
          </w:tcPr>
          <w:p w14:paraId="5FD35028"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c>
          <w:tcPr>
            <w:tcW w:w="1545" w:type="pct"/>
            <w:tcMar>
              <w:top w:w="0" w:type="dxa"/>
              <w:left w:w="108" w:type="dxa"/>
              <w:bottom w:w="0" w:type="dxa"/>
              <w:right w:w="108" w:type="dxa"/>
            </w:tcMar>
          </w:tcPr>
          <w:p w14:paraId="48B6F5DB"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35</w:t>
            </w:r>
          </w:p>
        </w:tc>
      </w:tr>
      <w:tr w:rsidR="001E6F74" w:rsidRPr="009525BC" w14:paraId="78CFE42F" w14:textId="77777777" w:rsidTr="00BC747F">
        <w:trPr>
          <w:jc w:val="center"/>
        </w:trPr>
        <w:tc>
          <w:tcPr>
            <w:tcW w:w="2204" w:type="pct"/>
            <w:tcMar>
              <w:top w:w="0" w:type="dxa"/>
              <w:left w:w="108" w:type="dxa"/>
              <w:bottom w:w="0" w:type="dxa"/>
              <w:right w:w="108" w:type="dxa"/>
            </w:tcMar>
          </w:tcPr>
          <w:p w14:paraId="3A6296C9"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Amount</w:t>
            </w:r>
          </w:p>
        </w:tc>
        <w:tc>
          <w:tcPr>
            <w:tcW w:w="1251" w:type="pct"/>
            <w:tcMar>
              <w:top w:w="0" w:type="dxa"/>
              <w:left w:w="108" w:type="dxa"/>
              <w:bottom w:w="0" w:type="dxa"/>
              <w:right w:w="108" w:type="dxa"/>
            </w:tcMar>
          </w:tcPr>
          <w:p w14:paraId="733F61F3"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c>
          <w:tcPr>
            <w:tcW w:w="1545" w:type="pct"/>
            <w:tcMar>
              <w:top w:w="0" w:type="dxa"/>
              <w:left w:w="108" w:type="dxa"/>
              <w:bottom w:w="0" w:type="dxa"/>
              <w:right w:w="108" w:type="dxa"/>
            </w:tcMar>
          </w:tcPr>
          <w:p w14:paraId="619DABAD" w14:textId="77777777" w:rsidR="001E6F74" w:rsidRPr="009525BC" w:rsidRDefault="00000000" w:rsidP="00AA3964">
            <w:pPr>
              <w:spacing w:after="0" w:line="276" w:lineRule="auto"/>
              <w:ind w:firstLine="20"/>
              <w:jc w:val="both"/>
              <w:rPr>
                <w:rFonts w:ascii="Times New Roman" w:eastAsia="Times New Roman" w:hAnsi="Times New Roman" w:cs="Times New Roman"/>
                <w:sz w:val="24"/>
                <w:szCs w:val="24"/>
              </w:rPr>
            </w:pPr>
            <w:r w:rsidRPr="009525BC">
              <w:rPr>
                <w:rFonts w:ascii="Times New Roman" w:eastAsia="Times New Roman" w:hAnsi="Times New Roman" w:cs="Times New Roman"/>
                <w:color w:val="000000"/>
                <w:sz w:val="24"/>
                <w:szCs w:val="24"/>
              </w:rPr>
              <w:t>100</w:t>
            </w:r>
          </w:p>
        </w:tc>
      </w:tr>
    </w:tbl>
    <w:p w14:paraId="5A71E532"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5E728E65"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Based on the table above, it shows that most employees live more than 2 kilometers from the workplace, which is 70 percent of employees. This shows that the distance range requires relatively large employee energy for the size of Batu City which has an area of ​​202.30 km².</w:t>
      </w:r>
    </w:p>
    <w:p w14:paraId="6BCDB3B9" w14:textId="77777777" w:rsidR="001E6F74" w:rsidRPr="009525BC" w:rsidRDefault="001E6F74">
      <w:pPr>
        <w:spacing w:after="0" w:line="276" w:lineRule="auto"/>
        <w:jc w:val="both"/>
        <w:rPr>
          <w:rFonts w:ascii="Times New Roman" w:eastAsia="Times New Roman" w:hAnsi="Times New Roman" w:cs="Times New Roman"/>
          <w:b/>
          <w:sz w:val="24"/>
          <w:szCs w:val="24"/>
        </w:rPr>
      </w:pPr>
    </w:p>
    <w:p w14:paraId="4D74A3C9"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Data analysis</w:t>
      </w:r>
    </w:p>
    <w:p w14:paraId="0EBC3F4C"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This research was conducted through a questionnaire that had been tested for validity for each variable, showing a calculated r value for Productivity above 0.693, which is above the calculated r of 0.1654, which means that all Productivity measurement items are valid.</w:t>
      </w:r>
    </w:p>
    <w:p w14:paraId="66D501F3"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the analysis data from the Work Productivity measurement indicator at Anak Garuda Shop, it shows that all 8 indicators have proven to show the results of the r count of more than 0.6 and greater than the r count. This means that all work productivity instruments are valid. Work motivation (X1) from 5 indicator items shows r count above 0.573 which is greater than r-Table 0.1654, indicating that the Work Motivation Variable is Valid. The Work Experience </w:t>
      </w:r>
      <w:r w:rsidRPr="009525BC">
        <w:rPr>
          <w:rFonts w:ascii="Times New Roman" w:eastAsia="Times New Roman" w:hAnsi="Times New Roman" w:cs="Times New Roman"/>
          <w:sz w:val="24"/>
          <w:szCs w:val="24"/>
        </w:rPr>
        <w:lastRenderedPageBreak/>
        <w:t xml:space="preserve">Variable shows similar validity for the 7 research questions, showing 5 counts above 0.664 above the r-Count of 0.1654 which means Valid.   </w:t>
      </w:r>
    </w:p>
    <w:p w14:paraId="14B8C216" w14:textId="475AD680"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Meanwhile, the Reliability test shows that the Productivity Variable shows a </w:t>
      </w:r>
      <w:r w:rsidR="009525BC" w:rsidRPr="009525BC">
        <w:rPr>
          <w:rFonts w:ascii="Times New Roman" w:eastAsia="Times New Roman" w:hAnsi="Times New Roman" w:cs="Times New Roman"/>
          <w:sz w:val="24"/>
          <w:szCs w:val="24"/>
        </w:rPr>
        <w:t>Cronbach</w:t>
      </w:r>
      <w:r w:rsidRPr="009525BC">
        <w:rPr>
          <w:rFonts w:ascii="Times New Roman" w:eastAsia="Times New Roman" w:hAnsi="Times New Roman" w:cs="Times New Roman"/>
          <w:sz w:val="24"/>
          <w:szCs w:val="24"/>
        </w:rPr>
        <w:t xml:space="preserve"> Alpha of 0.717, which is greater than the standard value of 0.70. Likewise, the Motivation Variable obtained a </w:t>
      </w:r>
      <w:r w:rsidR="009525BC" w:rsidRPr="009525BC">
        <w:rPr>
          <w:rFonts w:ascii="Times New Roman" w:eastAsia="Times New Roman" w:hAnsi="Times New Roman" w:cs="Times New Roman"/>
          <w:sz w:val="24"/>
          <w:szCs w:val="24"/>
        </w:rPr>
        <w:t>Cronbach</w:t>
      </w:r>
      <w:r w:rsidRPr="009525BC">
        <w:rPr>
          <w:rFonts w:ascii="Times New Roman" w:eastAsia="Times New Roman" w:hAnsi="Times New Roman" w:cs="Times New Roman"/>
          <w:sz w:val="24"/>
          <w:szCs w:val="24"/>
        </w:rPr>
        <w:t xml:space="preserve"> Alpha of 0.723 and the Work Experience variable of 0.743, all data or greater than the standard value of 0.70, which means that all research variables of this instrument used have met the valid and reliable assessment standards.</w:t>
      </w:r>
    </w:p>
    <w:p w14:paraId="0EFA94AC"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data obtained through data collection from questionnaires that have been tested to be valid and reliable are processed through data analysis using the Classical Assumption Test.</w:t>
      </w:r>
    </w:p>
    <w:p w14:paraId="3E263352"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66BEDD08" w14:textId="117EF39A" w:rsidR="001E6F74" w:rsidRPr="009525BC" w:rsidRDefault="00000000">
      <w:pPr>
        <w:spacing w:after="0" w:line="276" w:lineRule="auto"/>
        <w:jc w:val="both"/>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Classical Assumption Test</w:t>
      </w:r>
      <w:r w:rsidR="00BC747F" w:rsidRPr="009525BC">
        <w:rPr>
          <w:rFonts w:ascii="Times New Roman" w:eastAsia="Times New Roman" w:hAnsi="Times New Roman" w:cs="Times New Roman"/>
          <w:b/>
          <w:sz w:val="24"/>
          <w:szCs w:val="24"/>
        </w:rPr>
        <w:t xml:space="preserve"> </w:t>
      </w:r>
      <w:r w:rsidRPr="009525BC">
        <w:rPr>
          <w:rFonts w:ascii="Times New Roman" w:eastAsia="Times New Roman" w:hAnsi="Times New Roman" w:cs="Times New Roman"/>
          <w:b/>
          <w:sz w:val="24"/>
          <w:szCs w:val="24"/>
        </w:rPr>
        <w:t>and Normality Test</w:t>
      </w:r>
    </w:p>
    <w:p w14:paraId="43325F56"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7E804180" w14:textId="09301D1E" w:rsidR="001E6F74" w:rsidRPr="009525BC" w:rsidRDefault="00000000" w:rsidP="00BC747F">
      <w:pPr>
        <w:spacing w:after="0" w:line="276" w:lineRule="auto"/>
        <w:jc w:val="center"/>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 xml:space="preserve">Table </w:t>
      </w:r>
      <w:r w:rsidR="00BC747F" w:rsidRPr="009525BC">
        <w:rPr>
          <w:rFonts w:ascii="Times New Roman" w:eastAsia="Times New Roman" w:hAnsi="Times New Roman" w:cs="Times New Roman"/>
          <w:b/>
          <w:sz w:val="24"/>
          <w:szCs w:val="24"/>
        </w:rPr>
        <w:t>4</w:t>
      </w:r>
      <w:r w:rsidRPr="009525BC">
        <w:rPr>
          <w:rFonts w:ascii="Times New Roman" w:eastAsia="Times New Roman" w:hAnsi="Times New Roman" w:cs="Times New Roman"/>
          <w:b/>
          <w:sz w:val="24"/>
          <w:szCs w:val="24"/>
        </w:rPr>
        <w:t>. Data normality</w:t>
      </w:r>
    </w:p>
    <w:p w14:paraId="3EF75DA6" w14:textId="77777777" w:rsidR="00BC747F" w:rsidRPr="009525BC" w:rsidRDefault="00BC747F" w:rsidP="00BC747F">
      <w:pPr>
        <w:spacing w:after="0"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One-Sample Kolmogorov-Smirnov Test</w:t>
      </w:r>
    </w:p>
    <w:tbl>
      <w:tblPr>
        <w:tblW w:w="5000" w:type="pct"/>
        <w:tblCellSpacing w:w="15"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176"/>
        <w:gridCol w:w="3761"/>
      </w:tblGrid>
      <w:tr w:rsidR="00BC747F" w:rsidRPr="009525BC" w14:paraId="53DD8B7B" w14:textId="77777777" w:rsidTr="00BC747F">
        <w:trPr>
          <w:tblHeader/>
          <w:tblCellSpacing w:w="15" w:type="dxa"/>
        </w:trPr>
        <w:tc>
          <w:tcPr>
            <w:tcW w:w="2587" w:type="pct"/>
            <w:vAlign w:val="center"/>
            <w:hideMark/>
          </w:tcPr>
          <w:p w14:paraId="32D079DB"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2327" w:type="pct"/>
            <w:vAlign w:val="center"/>
            <w:hideMark/>
          </w:tcPr>
          <w:p w14:paraId="02DF842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Unstandardized Residual</w:t>
            </w:r>
          </w:p>
        </w:tc>
      </w:tr>
      <w:tr w:rsidR="00BC747F" w:rsidRPr="009525BC" w14:paraId="02C49A50" w14:textId="77777777" w:rsidTr="00BC747F">
        <w:trPr>
          <w:tblCellSpacing w:w="15" w:type="dxa"/>
        </w:trPr>
        <w:tc>
          <w:tcPr>
            <w:tcW w:w="2587" w:type="pct"/>
            <w:vAlign w:val="center"/>
            <w:hideMark/>
          </w:tcPr>
          <w:p w14:paraId="753CDA2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N</w:t>
            </w:r>
          </w:p>
        </w:tc>
        <w:tc>
          <w:tcPr>
            <w:tcW w:w="2327" w:type="pct"/>
            <w:vAlign w:val="center"/>
            <w:hideMark/>
          </w:tcPr>
          <w:p w14:paraId="3A8B082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100</w:t>
            </w:r>
          </w:p>
        </w:tc>
      </w:tr>
      <w:tr w:rsidR="00BC747F" w:rsidRPr="009525BC" w14:paraId="112D2575" w14:textId="77777777" w:rsidTr="00BC747F">
        <w:trPr>
          <w:tblCellSpacing w:w="15" w:type="dxa"/>
        </w:trPr>
        <w:tc>
          <w:tcPr>
            <w:tcW w:w="2587" w:type="pct"/>
            <w:vAlign w:val="center"/>
            <w:hideMark/>
          </w:tcPr>
          <w:p w14:paraId="4B608FE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Normal Parameters</w:t>
            </w:r>
            <w:r w:rsidRPr="009525BC">
              <w:rPr>
                <w:rFonts w:ascii="Times New Roman" w:eastAsia="Times New Roman" w:hAnsi="Times New Roman" w:cs="Times New Roman"/>
                <w:sz w:val="24"/>
                <w:szCs w:val="24"/>
                <w:vertAlign w:val="superscript"/>
              </w:rPr>
              <w:t>a,b</w:t>
            </w:r>
          </w:p>
        </w:tc>
        <w:tc>
          <w:tcPr>
            <w:tcW w:w="2327" w:type="pct"/>
            <w:vAlign w:val="center"/>
            <w:hideMark/>
          </w:tcPr>
          <w:p w14:paraId="527C9A0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Mean</w:t>
            </w:r>
          </w:p>
        </w:tc>
      </w:tr>
      <w:tr w:rsidR="00BC747F" w:rsidRPr="009525BC" w14:paraId="2A08E14F" w14:textId="77777777" w:rsidTr="00BC747F">
        <w:trPr>
          <w:tblCellSpacing w:w="15" w:type="dxa"/>
        </w:trPr>
        <w:tc>
          <w:tcPr>
            <w:tcW w:w="2587" w:type="pct"/>
            <w:vAlign w:val="center"/>
            <w:hideMark/>
          </w:tcPr>
          <w:p w14:paraId="0C02AE1B"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2327" w:type="pct"/>
            <w:vAlign w:val="center"/>
            <w:hideMark/>
          </w:tcPr>
          <w:p w14:paraId="5DDE08E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Std. Deviation</w:t>
            </w:r>
          </w:p>
        </w:tc>
      </w:tr>
      <w:tr w:rsidR="00BC747F" w:rsidRPr="009525BC" w14:paraId="7E7658F8" w14:textId="77777777" w:rsidTr="00BC747F">
        <w:trPr>
          <w:tblCellSpacing w:w="15" w:type="dxa"/>
        </w:trPr>
        <w:tc>
          <w:tcPr>
            <w:tcW w:w="2587" w:type="pct"/>
            <w:vAlign w:val="center"/>
            <w:hideMark/>
          </w:tcPr>
          <w:p w14:paraId="31B8678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Most Extreme Differences</w:t>
            </w:r>
          </w:p>
        </w:tc>
        <w:tc>
          <w:tcPr>
            <w:tcW w:w="2327" w:type="pct"/>
            <w:vAlign w:val="center"/>
            <w:hideMark/>
          </w:tcPr>
          <w:p w14:paraId="0A69232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Absolute</w:t>
            </w:r>
          </w:p>
        </w:tc>
      </w:tr>
      <w:tr w:rsidR="00BC747F" w:rsidRPr="009525BC" w14:paraId="3361CD40" w14:textId="77777777" w:rsidTr="00BC747F">
        <w:trPr>
          <w:tblCellSpacing w:w="15" w:type="dxa"/>
        </w:trPr>
        <w:tc>
          <w:tcPr>
            <w:tcW w:w="2587" w:type="pct"/>
            <w:vAlign w:val="center"/>
            <w:hideMark/>
          </w:tcPr>
          <w:p w14:paraId="1D401F1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2327" w:type="pct"/>
            <w:vAlign w:val="center"/>
            <w:hideMark/>
          </w:tcPr>
          <w:p w14:paraId="3FF4F4D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Positive</w:t>
            </w:r>
          </w:p>
        </w:tc>
      </w:tr>
      <w:tr w:rsidR="00BC747F" w:rsidRPr="009525BC" w14:paraId="7D664862" w14:textId="77777777" w:rsidTr="00BC747F">
        <w:trPr>
          <w:tblCellSpacing w:w="15" w:type="dxa"/>
        </w:trPr>
        <w:tc>
          <w:tcPr>
            <w:tcW w:w="2587" w:type="pct"/>
            <w:vAlign w:val="center"/>
            <w:hideMark/>
          </w:tcPr>
          <w:p w14:paraId="4A0BCE5E"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2327" w:type="pct"/>
            <w:vAlign w:val="center"/>
            <w:hideMark/>
          </w:tcPr>
          <w:p w14:paraId="41F8B5E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Negative</w:t>
            </w:r>
          </w:p>
        </w:tc>
      </w:tr>
      <w:tr w:rsidR="00BC747F" w:rsidRPr="009525BC" w14:paraId="79279CA7" w14:textId="77777777" w:rsidTr="00BC747F">
        <w:trPr>
          <w:tblCellSpacing w:w="15" w:type="dxa"/>
        </w:trPr>
        <w:tc>
          <w:tcPr>
            <w:tcW w:w="2587" w:type="pct"/>
            <w:vAlign w:val="center"/>
            <w:hideMark/>
          </w:tcPr>
          <w:p w14:paraId="57F3DB0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Test Statistic</w:t>
            </w:r>
          </w:p>
        </w:tc>
        <w:tc>
          <w:tcPr>
            <w:tcW w:w="2327" w:type="pct"/>
            <w:vAlign w:val="center"/>
            <w:hideMark/>
          </w:tcPr>
          <w:p w14:paraId="41266619" w14:textId="77777777" w:rsidR="00BC747F" w:rsidRPr="009525BC" w:rsidRDefault="00BC747F" w:rsidP="00BC747F">
            <w:pPr>
              <w:spacing w:after="0" w:line="240" w:lineRule="auto"/>
              <w:rPr>
                <w:rFonts w:ascii="Times New Roman" w:eastAsia="Times New Roman" w:hAnsi="Times New Roman" w:cs="Times New Roman"/>
                <w:sz w:val="24"/>
                <w:szCs w:val="24"/>
              </w:rPr>
            </w:pPr>
          </w:p>
        </w:tc>
      </w:tr>
      <w:tr w:rsidR="00BC747F" w:rsidRPr="009525BC" w14:paraId="0F0BD261" w14:textId="77777777" w:rsidTr="00BC747F">
        <w:trPr>
          <w:tblCellSpacing w:w="15" w:type="dxa"/>
        </w:trPr>
        <w:tc>
          <w:tcPr>
            <w:tcW w:w="2587" w:type="pct"/>
            <w:vAlign w:val="center"/>
            <w:hideMark/>
          </w:tcPr>
          <w:p w14:paraId="7FB1AF1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Asymp. Sig. (2-tailed)</w:t>
            </w:r>
          </w:p>
        </w:tc>
        <w:tc>
          <w:tcPr>
            <w:tcW w:w="2327" w:type="pct"/>
            <w:vAlign w:val="center"/>
            <w:hideMark/>
          </w:tcPr>
          <w:p w14:paraId="5E982D39" w14:textId="77777777" w:rsidR="00BC747F" w:rsidRPr="009525BC" w:rsidRDefault="00BC747F" w:rsidP="00BC747F">
            <w:pPr>
              <w:spacing w:after="0" w:line="240" w:lineRule="auto"/>
              <w:rPr>
                <w:rFonts w:ascii="Times New Roman" w:eastAsia="Times New Roman" w:hAnsi="Times New Roman" w:cs="Times New Roman"/>
                <w:sz w:val="24"/>
                <w:szCs w:val="24"/>
              </w:rPr>
            </w:pPr>
          </w:p>
        </w:tc>
      </w:tr>
    </w:tbl>
    <w:p w14:paraId="50DC9E72"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Test distribution is Normal.</w:t>
      </w:r>
    </w:p>
    <w:p w14:paraId="2094E87C"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 Calculated from data. </w:t>
      </w:r>
    </w:p>
    <w:p w14:paraId="39AD5055"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c. Lilliefors Significance Correction. </w:t>
      </w:r>
    </w:p>
    <w:p w14:paraId="38E7B967" w14:textId="0BA7A68E"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d. This is a lower bound of the true significance.</w:t>
      </w:r>
    </w:p>
    <w:p w14:paraId="3FBB3A5C"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0CBAB7BD"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722778BE" w14:textId="1C23FF8E"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Normality Test Results Based on the data in table </w:t>
      </w:r>
      <w:r w:rsidR="00BC747F" w:rsidRPr="009525BC">
        <w:rPr>
          <w:rFonts w:ascii="Times New Roman" w:eastAsia="Times New Roman" w:hAnsi="Times New Roman" w:cs="Times New Roman"/>
          <w:sz w:val="24"/>
          <w:szCs w:val="24"/>
        </w:rPr>
        <w:t>4</w:t>
      </w:r>
      <w:r w:rsidRPr="009525BC">
        <w:rPr>
          <w:rFonts w:ascii="Times New Roman" w:eastAsia="Times New Roman" w:hAnsi="Times New Roman" w:cs="Times New Roman"/>
          <w:sz w:val="24"/>
          <w:szCs w:val="24"/>
        </w:rPr>
        <w:t>, the Asymp. Sig (2-tailed) value is 0.200, which is greater than 0.05, which means that the data is normally distributed. This means that the data distribution meets the normal curve for the two-tailed test. This shows that there is a graph that proves that the points are spread around the diagonal line and follow the direction of the diagonal line indicating that the pattern is normally distributed. This is what is used in this study is normal.</w:t>
      </w:r>
    </w:p>
    <w:p w14:paraId="6F4FFBDE" w14:textId="77777777" w:rsidR="001E6F74" w:rsidRDefault="001E6F74">
      <w:pPr>
        <w:spacing w:after="0" w:line="276" w:lineRule="auto"/>
        <w:ind w:firstLine="709"/>
        <w:jc w:val="both"/>
        <w:rPr>
          <w:rFonts w:ascii="Times New Roman" w:eastAsia="Times New Roman" w:hAnsi="Times New Roman" w:cs="Times New Roman"/>
          <w:sz w:val="24"/>
          <w:szCs w:val="24"/>
        </w:rPr>
      </w:pPr>
    </w:p>
    <w:p w14:paraId="4EBBBFDB" w14:textId="77777777" w:rsidR="00D46030" w:rsidRPr="009525BC" w:rsidRDefault="00D46030">
      <w:pPr>
        <w:spacing w:after="0" w:line="276" w:lineRule="auto"/>
        <w:ind w:firstLine="709"/>
        <w:jc w:val="both"/>
        <w:rPr>
          <w:rFonts w:ascii="Times New Roman" w:eastAsia="Times New Roman" w:hAnsi="Times New Roman" w:cs="Times New Roman"/>
          <w:sz w:val="24"/>
          <w:szCs w:val="24"/>
        </w:rPr>
      </w:pPr>
    </w:p>
    <w:p w14:paraId="6A7E74BF"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lastRenderedPageBreak/>
        <w:t>Multicollinearity Test</w:t>
      </w:r>
    </w:p>
    <w:p w14:paraId="1051C265" w14:textId="2971D9D5" w:rsidR="001E6F74" w:rsidRPr="009525BC" w:rsidRDefault="00000000" w:rsidP="00BC747F">
      <w:pPr>
        <w:spacing w:after="0" w:line="276" w:lineRule="auto"/>
        <w:jc w:val="center"/>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 xml:space="preserve">Table </w:t>
      </w:r>
      <w:r w:rsidR="00BC747F" w:rsidRPr="009525BC">
        <w:rPr>
          <w:rFonts w:ascii="Times New Roman" w:eastAsia="Times New Roman" w:hAnsi="Times New Roman" w:cs="Times New Roman"/>
          <w:b/>
          <w:sz w:val="24"/>
          <w:szCs w:val="24"/>
        </w:rPr>
        <w:t>5</w:t>
      </w:r>
      <w:r w:rsidRPr="009525BC">
        <w:rPr>
          <w:rFonts w:ascii="Times New Roman" w:eastAsia="Times New Roman" w:hAnsi="Times New Roman" w:cs="Times New Roman"/>
          <w:b/>
          <w:sz w:val="24"/>
          <w:szCs w:val="24"/>
        </w:rPr>
        <w:t>. Multicollinearity</w:t>
      </w:r>
    </w:p>
    <w:p w14:paraId="65A09028" w14:textId="77777777" w:rsidR="00BC747F" w:rsidRPr="009525BC" w:rsidRDefault="00BC747F" w:rsidP="00BC747F">
      <w:pPr>
        <w:spacing w:before="100" w:beforeAutospacing="1" w:after="100" w:afterAutospacing="1"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Coefficient Correlations</w:t>
      </w:r>
      <w:r w:rsidRPr="009525BC">
        <w:rPr>
          <w:rFonts w:ascii="Times New Roman" w:eastAsia="Times New Roman" w:hAnsi="Times New Roman" w:cs="Times New Roman"/>
          <w:sz w:val="24"/>
          <w:szCs w:val="24"/>
          <w:vertAlign w:val="superscript"/>
        </w:rPr>
        <w:t>a</w:t>
      </w:r>
    </w:p>
    <w:tbl>
      <w:tblPr>
        <w:tblW w:w="5000" w:type="pct"/>
        <w:jc w:val="center"/>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840"/>
        <w:gridCol w:w="1504"/>
        <w:gridCol w:w="2109"/>
        <w:gridCol w:w="2109"/>
        <w:gridCol w:w="1375"/>
      </w:tblGrid>
      <w:tr w:rsidR="00BC747F" w:rsidRPr="009525BC" w14:paraId="6CBE822D" w14:textId="77777777" w:rsidTr="00BC747F">
        <w:trPr>
          <w:tblHeader/>
          <w:tblCellSpacing w:w="15" w:type="dxa"/>
          <w:jc w:val="center"/>
        </w:trPr>
        <w:tc>
          <w:tcPr>
            <w:tcW w:w="501" w:type="pct"/>
            <w:vAlign w:val="center"/>
            <w:hideMark/>
          </w:tcPr>
          <w:p w14:paraId="5C81F24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Model</w:t>
            </w:r>
          </w:p>
        </w:tc>
        <w:tc>
          <w:tcPr>
            <w:tcW w:w="929" w:type="pct"/>
            <w:vAlign w:val="center"/>
            <w:hideMark/>
          </w:tcPr>
          <w:p w14:paraId="0038294C"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310" w:type="pct"/>
            <w:vAlign w:val="center"/>
            <w:hideMark/>
          </w:tcPr>
          <w:p w14:paraId="0594EF20"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1310" w:type="pct"/>
            <w:vAlign w:val="center"/>
            <w:hideMark/>
          </w:tcPr>
          <w:p w14:paraId="3DA6600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838" w:type="pct"/>
            <w:vAlign w:val="center"/>
            <w:hideMark/>
          </w:tcPr>
          <w:p w14:paraId="32BF377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r>
      <w:tr w:rsidR="00BC747F" w:rsidRPr="009525BC" w14:paraId="1F9BF96C" w14:textId="77777777" w:rsidTr="00BC747F">
        <w:trPr>
          <w:tblCellSpacing w:w="15" w:type="dxa"/>
          <w:jc w:val="center"/>
        </w:trPr>
        <w:tc>
          <w:tcPr>
            <w:tcW w:w="501" w:type="pct"/>
            <w:vAlign w:val="center"/>
            <w:hideMark/>
          </w:tcPr>
          <w:p w14:paraId="6394E4E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929" w:type="pct"/>
            <w:vAlign w:val="center"/>
            <w:hideMark/>
          </w:tcPr>
          <w:p w14:paraId="621EECD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Correlations</w:t>
            </w:r>
          </w:p>
        </w:tc>
        <w:tc>
          <w:tcPr>
            <w:tcW w:w="1310" w:type="pct"/>
            <w:vAlign w:val="center"/>
            <w:hideMark/>
          </w:tcPr>
          <w:p w14:paraId="57714D1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1310" w:type="pct"/>
            <w:vAlign w:val="center"/>
            <w:hideMark/>
          </w:tcPr>
          <w:p w14:paraId="30A7931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1.000</w:t>
            </w:r>
          </w:p>
        </w:tc>
        <w:tc>
          <w:tcPr>
            <w:tcW w:w="838" w:type="pct"/>
            <w:vAlign w:val="center"/>
            <w:hideMark/>
          </w:tcPr>
          <w:p w14:paraId="27C3DA5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-.848</w:t>
            </w:r>
          </w:p>
        </w:tc>
      </w:tr>
      <w:tr w:rsidR="00BC747F" w:rsidRPr="009525BC" w14:paraId="42D97EE9" w14:textId="77777777" w:rsidTr="00BC747F">
        <w:trPr>
          <w:tblCellSpacing w:w="15" w:type="dxa"/>
          <w:jc w:val="center"/>
        </w:trPr>
        <w:tc>
          <w:tcPr>
            <w:tcW w:w="501" w:type="pct"/>
            <w:vAlign w:val="center"/>
            <w:hideMark/>
          </w:tcPr>
          <w:p w14:paraId="3DBC787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929" w:type="pct"/>
            <w:vAlign w:val="center"/>
            <w:hideMark/>
          </w:tcPr>
          <w:p w14:paraId="0265DA47"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1310" w:type="pct"/>
            <w:vAlign w:val="center"/>
            <w:hideMark/>
          </w:tcPr>
          <w:p w14:paraId="18738AF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c>
          <w:tcPr>
            <w:tcW w:w="1310" w:type="pct"/>
            <w:vAlign w:val="center"/>
            <w:hideMark/>
          </w:tcPr>
          <w:p w14:paraId="23A80AC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-.848</w:t>
            </w:r>
          </w:p>
        </w:tc>
        <w:tc>
          <w:tcPr>
            <w:tcW w:w="838" w:type="pct"/>
            <w:vAlign w:val="center"/>
            <w:hideMark/>
          </w:tcPr>
          <w:p w14:paraId="00B1DF8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1.000</w:t>
            </w:r>
          </w:p>
        </w:tc>
      </w:tr>
      <w:tr w:rsidR="00BC747F" w:rsidRPr="009525BC" w14:paraId="216CC927" w14:textId="77777777" w:rsidTr="00BC747F">
        <w:trPr>
          <w:tblCellSpacing w:w="15" w:type="dxa"/>
          <w:jc w:val="center"/>
        </w:trPr>
        <w:tc>
          <w:tcPr>
            <w:tcW w:w="501" w:type="pct"/>
            <w:vAlign w:val="center"/>
            <w:hideMark/>
          </w:tcPr>
          <w:p w14:paraId="2CE678F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929" w:type="pct"/>
            <w:vAlign w:val="center"/>
            <w:hideMark/>
          </w:tcPr>
          <w:p w14:paraId="20BAF27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Covariances</w:t>
            </w:r>
          </w:p>
        </w:tc>
        <w:tc>
          <w:tcPr>
            <w:tcW w:w="1310" w:type="pct"/>
            <w:vAlign w:val="center"/>
            <w:hideMark/>
          </w:tcPr>
          <w:p w14:paraId="3EF3D60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1310" w:type="pct"/>
            <w:vAlign w:val="center"/>
            <w:hideMark/>
          </w:tcPr>
          <w:p w14:paraId="2B66C9D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.007</w:t>
            </w:r>
          </w:p>
        </w:tc>
        <w:tc>
          <w:tcPr>
            <w:tcW w:w="838" w:type="pct"/>
            <w:vAlign w:val="center"/>
            <w:hideMark/>
          </w:tcPr>
          <w:p w14:paraId="215A549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-.010</w:t>
            </w:r>
          </w:p>
        </w:tc>
      </w:tr>
      <w:tr w:rsidR="00BC747F" w:rsidRPr="009525BC" w14:paraId="6DD088D7" w14:textId="77777777" w:rsidTr="00BC747F">
        <w:trPr>
          <w:tblCellSpacing w:w="15" w:type="dxa"/>
          <w:jc w:val="center"/>
        </w:trPr>
        <w:tc>
          <w:tcPr>
            <w:tcW w:w="501" w:type="pct"/>
            <w:vAlign w:val="center"/>
            <w:hideMark/>
          </w:tcPr>
          <w:p w14:paraId="656DA6E5"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929" w:type="pct"/>
            <w:vAlign w:val="center"/>
            <w:hideMark/>
          </w:tcPr>
          <w:p w14:paraId="3AA89534"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1310" w:type="pct"/>
            <w:vAlign w:val="center"/>
            <w:hideMark/>
          </w:tcPr>
          <w:p w14:paraId="7070C8F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c>
          <w:tcPr>
            <w:tcW w:w="1310" w:type="pct"/>
            <w:vAlign w:val="center"/>
            <w:hideMark/>
          </w:tcPr>
          <w:p w14:paraId="31DA030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-.010</w:t>
            </w:r>
          </w:p>
        </w:tc>
        <w:tc>
          <w:tcPr>
            <w:tcW w:w="838" w:type="pct"/>
            <w:vAlign w:val="center"/>
            <w:hideMark/>
          </w:tcPr>
          <w:p w14:paraId="13B3A51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.018</w:t>
            </w:r>
          </w:p>
        </w:tc>
      </w:tr>
    </w:tbl>
    <w:p w14:paraId="46602EF8"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Dependent Variable: Productivity</w:t>
      </w:r>
    </w:p>
    <w:p w14:paraId="1D44024F" w14:textId="77777777" w:rsidR="001E6F74" w:rsidRPr="009525BC" w:rsidRDefault="00000000" w:rsidP="00BC747F">
      <w:pPr>
        <w:spacing w:after="0" w:line="276"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55194812"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45EEBD4B" w14:textId="66763B4A"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table </w:t>
      </w:r>
      <w:r w:rsidR="00BC747F" w:rsidRPr="009525BC">
        <w:rPr>
          <w:rFonts w:ascii="Times New Roman" w:eastAsia="Times New Roman" w:hAnsi="Times New Roman" w:cs="Times New Roman"/>
          <w:sz w:val="24"/>
          <w:szCs w:val="24"/>
        </w:rPr>
        <w:t>5</w:t>
      </w:r>
      <w:r w:rsidRPr="009525BC">
        <w:rPr>
          <w:rFonts w:ascii="Times New Roman" w:eastAsia="Times New Roman" w:hAnsi="Times New Roman" w:cs="Times New Roman"/>
          <w:sz w:val="24"/>
          <w:szCs w:val="24"/>
        </w:rPr>
        <w:t xml:space="preserve"> above, it shows that each variable VIF value is less than 10, while the tolerance value result is above 0.1. Thus, it can be stated that this regression model does not experience multicollinearity.</w:t>
      </w:r>
    </w:p>
    <w:p w14:paraId="72E0CF84"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Heteroscedasticity Test</w:t>
      </w:r>
    </w:p>
    <w:p w14:paraId="35860306" w14:textId="77777777" w:rsidR="00493FF0" w:rsidRPr="009525BC" w:rsidRDefault="00493FF0">
      <w:pPr>
        <w:spacing w:after="0" w:line="276" w:lineRule="auto"/>
        <w:ind w:firstLine="709"/>
        <w:jc w:val="center"/>
        <w:rPr>
          <w:rFonts w:ascii="Times New Roman" w:eastAsia="Times New Roman" w:hAnsi="Times New Roman" w:cs="Times New Roman"/>
          <w:b/>
          <w:sz w:val="24"/>
          <w:szCs w:val="24"/>
        </w:rPr>
      </w:pPr>
    </w:p>
    <w:p w14:paraId="712ED19F" w14:textId="4350DD32" w:rsidR="001E6F74" w:rsidRPr="009525BC" w:rsidRDefault="00000000" w:rsidP="00BC747F">
      <w:pPr>
        <w:spacing w:after="0" w:line="276" w:lineRule="auto"/>
        <w:jc w:val="center"/>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 xml:space="preserve">Table </w:t>
      </w:r>
      <w:r w:rsidR="00BC747F" w:rsidRPr="009525BC">
        <w:rPr>
          <w:rFonts w:ascii="Times New Roman" w:eastAsia="Times New Roman" w:hAnsi="Times New Roman" w:cs="Times New Roman"/>
          <w:b/>
          <w:sz w:val="24"/>
          <w:szCs w:val="24"/>
        </w:rPr>
        <w:t>6</w:t>
      </w:r>
      <w:r w:rsidRPr="009525BC">
        <w:rPr>
          <w:rFonts w:ascii="Times New Roman" w:eastAsia="Times New Roman" w:hAnsi="Times New Roman" w:cs="Times New Roman"/>
          <w:b/>
          <w:sz w:val="24"/>
          <w:szCs w:val="24"/>
        </w:rPr>
        <w:t>. Heteroscedasticity of Data</w:t>
      </w:r>
    </w:p>
    <w:p w14:paraId="7DE0638C" w14:textId="77777777" w:rsidR="00BC747F" w:rsidRPr="009525BC" w:rsidRDefault="00BC747F" w:rsidP="00BC747F">
      <w:pPr>
        <w:spacing w:before="100" w:beforeAutospacing="1" w:after="100" w:afterAutospacing="1"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Coefficients</w:t>
      </w:r>
      <w:r w:rsidRPr="009525BC">
        <w:rPr>
          <w:rFonts w:ascii="Times New Roman" w:eastAsia="Times New Roman" w:hAnsi="Times New Roman" w:cs="Times New Roman"/>
          <w:sz w:val="24"/>
          <w:szCs w:val="24"/>
          <w:vertAlign w:val="superscript"/>
        </w:rPr>
        <w:t>a</w:t>
      </w:r>
    </w:p>
    <w:tbl>
      <w:tblPr>
        <w:tblW w:w="7722" w:type="dxa"/>
        <w:jc w:val="center"/>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702"/>
        <w:gridCol w:w="1992"/>
        <w:gridCol w:w="1567"/>
        <w:gridCol w:w="755"/>
        <w:gridCol w:w="1505"/>
        <w:gridCol w:w="706"/>
        <w:gridCol w:w="495"/>
      </w:tblGrid>
      <w:tr w:rsidR="00BC747F" w:rsidRPr="009525BC" w14:paraId="597B4F2B" w14:textId="77777777" w:rsidTr="00BC747F">
        <w:trPr>
          <w:tblHeader/>
          <w:tblCellSpacing w:w="15" w:type="dxa"/>
          <w:jc w:val="center"/>
        </w:trPr>
        <w:tc>
          <w:tcPr>
            <w:tcW w:w="0" w:type="auto"/>
            <w:vAlign w:val="center"/>
            <w:hideMark/>
          </w:tcPr>
          <w:p w14:paraId="2457E06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Model</w:t>
            </w:r>
          </w:p>
        </w:tc>
        <w:tc>
          <w:tcPr>
            <w:tcW w:w="1962" w:type="dxa"/>
            <w:vAlign w:val="center"/>
            <w:hideMark/>
          </w:tcPr>
          <w:p w14:paraId="5A47C01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537" w:type="dxa"/>
            <w:vAlign w:val="center"/>
            <w:hideMark/>
          </w:tcPr>
          <w:p w14:paraId="0DA0AD1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Unstandardized Coefficients</w:t>
            </w:r>
          </w:p>
        </w:tc>
        <w:tc>
          <w:tcPr>
            <w:tcW w:w="0" w:type="auto"/>
            <w:vAlign w:val="center"/>
            <w:hideMark/>
          </w:tcPr>
          <w:p w14:paraId="681DEFF3"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475" w:type="dxa"/>
            <w:vAlign w:val="center"/>
            <w:hideMark/>
          </w:tcPr>
          <w:p w14:paraId="5F8B22E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Standardized Coefficients</w:t>
            </w:r>
          </w:p>
        </w:tc>
        <w:tc>
          <w:tcPr>
            <w:tcW w:w="676" w:type="dxa"/>
            <w:vAlign w:val="center"/>
            <w:hideMark/>
          </w:tcPr>
          <w:p w14:paraId="77C5F743"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00ABCA44" w14:textId="77777777" w:rsidR="00BC747F" w:rsidRPr="009525BC" w:rsidRDefault="00BC747F" w:rsidP="00BC747F">
            <w:pPr>
              <w:spacing w:after="0" w:line="240" w:lineRule="auto"/>
              <w:rPr>
                <w:rFonts w:ascii="Times New Roman" w:eastAsia="Times New Roman" w:hAnsi="Times New Roman" w:cs="Times New Roman"/>
                <w:sz w:val="20"/>
                <w:szCs w:val="20"/>
              </w:rPr>
            </w:pPr>
          </w:p>
        </w:tc>
      </w:tr>
      <w:tr w:rsidR="00BC747F" w:rsidRPr="009525BC" w14:paraId="18FFB09E" w14:textId="77777777" w:rsidTr="00BC747F">
        <w:trPr>
          <w:tblCellSpacing w:w="15" w:type="dxa"/>
          <w:jc w:val="center"/>
        </w:trPr>
        <w:tc>
          <w:tcPr>
            <w:tcW w:w="0" w:type="auto"/>
            <w:vAlign w:val="center"/>
            <w:hideMark/>
          </w:tcPr>
          <w:p w14:paraId="6A9914DD"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1962" w:type="dxa"/>
            <w:vAlign w:val="center"/>
            <w:hideMark/>
          </w:tcPr>
          <w:p w14:paraId="0DC24B57"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1537" w:type="dxa"/>
            <w:vAlign w:val="center"/>
            <w:hideMark/>
          </w:tcPr>
          <w:p w14:paraId="71D0EF0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w:t>
            </w:r>
          </w:p>
        </w:tc>
        <w:tc>
          <w:tcPr>
            <w:tcW w:w="0" w:type="auto"/>
            <w:vAlign w:val="center"/>
            <w:hideMark/>
          </w:tcPr>
          <w:p w14:paraId="776F59C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Std. Error</w:t>
            </w:r>
          </w:p>
        </w:tc>
        <w:tc>
          <w:tcPr>
            <w:tcW w:w="1475" w:type="dxa"/>
            <w:vAlign w:val="center"/>
            <w:hideMark/>
          </w:tcPr>
          <w:p w14:paraId="05D5016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Beta</w:t>
            </w:r>
          </w:p>
        </w:tc>
        <w:tc>
          <w:tcPr>
            <w:tcW w:w="676" w:type="dxa"/>
            <w:vAlign w:val="center"/>
            <w:hideMark/>
          </w:tcPr>
          <w:p w14:paraId="57A30CC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w:t>
            </w:r>
          </w:p>
        </w:tc>
        <w:tc>
          <w:tcPr>
            <w:tcW w:w="0" w:type="auto"/>
            <w:vAlign w:val="center"/>
            <w:hideMark/>
          </w:tcPr>
          <w:p w14:paraId="252F0C8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Sig.</w:t>
            </w:r>
          </w:p>
        </w:tc>
      </w:tr>
      <w:tr w:rsidR="00BC747F" w:rsidRPr="009525BC" w14:paraId="6FFB1553" w14:textId="77777777" w:rsidTr="00BC747F">
        <w:trPr>
          <w:tblCellSpacing w:w="15" w:type="dxa"/>
          <w:jc w:val="center"/>
        </w:trPr>
        <w:tc>
          <w:tcPr>
            <w:tcW w:w="0" w:type="auto"/>
            <w:vAlign w:val="center"/>
            <w:hideMark/>
          </w:tcPr>
          <w:p w14:paraId="24276BA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1962" w:type="dxa"/>
            <w:vAlign w:val="center"/>
            <w:hideMark/>
          </w:tcPr>
          <w:p w14:paraId="1758A4E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(Constant)</w:t>
            </w:r>
          </w:p>
        </w:tc>
        <w:tc>
          <w:tcPr>
            <w:tcW w:w="1537" w:type="dxa"/>
            <w:vAlign w:val="center"/>
            <w:hideMark/>
          </w:tcPr>
          <w:p w14:paraId="3EBA17B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3.611</w:t>
            </w:r>
          </w:p>
        </w:tc>
        <w:tc>
          <w:tcPr>
            <w:tcW w:w="0" w:type="auto"/>
            <w:vAlign w:val="center"/>
            <w:hideMark/>
          </w:tcPr>
          <w:p w14:paraId="042CA85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.827</w:t>
            </w:r>
          </w:p>
        </w:tc>
        <w:tc>
          <w:tcPr>
            <w:tcW w:w="1475" w:type="dxa"/>
            <w:vAlign w:val="center"/>
            <w:hideMark/>
          </w:tcPr>
          <w:p w14:paraId="4043CC4E"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676" w:type="dxa"/>
            <w:vAlign w:val="center"/>
            <w:hideMark/>
          </w:tcPr>
          <w:p w14:paraId="0401A1F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4.367</w:t>
            </w:r>
          </w:p>
        </w:tc>
        <w:tc>
          <w:tcPr>
            <w:tcW w:w="0" w:type="auto"/>
            <w:vAlign w:val="center"/>
            <w:hideMark/>
          </w:tcPr>
          <w:p w14:paraId="4DAFE54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p>
        </w:tc>
      </w:tr>
      <w:tr w:rsidR="00BC747F" w:rsidRPr="009525BC" w14:paraId="5489B1F3" w14:textId="77777777" w:rsidTr="00BC747F">
        <w:trPr>
          <w:tblCellSpacing w:w="15" w:type="dxa"/>
          <w:jc w:val="center"/>
        </w:trPr>
        <w:tc>
          <w:tcPr>
            <w:tcW w:w="0" w:type="auto"/>
            <w:vAlign w:val="center"/>
            <w:hideMark/>
          </w:tcPr>
          <w:p w14:paraId="0E6E1721"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962" w:type="dxa"/>
            <w:vAlign w:val="center"/>
            <w:hideMark/>
          </w:tcPr>
          <w:p w14:paraId="3079F7C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c>
          <w:tcPr>
            <w:tcW w:w="1537" w:type="dxa"/>
            <w:vAlign w:val="center"/>
            <w:hideMark/>
          </w:tcPr>
          <w:p w14:paraId="522335E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.051</w:t>
            </w:r>
          </w:p>
        </w:tc>
        <w:tc>
          <w:tcPr>
            <w:tcW w:w="0" w:type="auto"/>
            <w:vAlign w:val="center"/>
            <w:hideMark/>
          </w:tcPr>
          <w:p w14:paraId="2BD7C9F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.074</w:t>
            </w:r>
          </w:p>
        </w:tc>
        <w:tc>
          <w:tcPr>
            <w:tcW w:w="1475" w:type="dxa"/>
            <w:vAlign w:val="center"/>
            <w:hideMark/>
          </w:tcPr>
          <w:p w14:paraId="106CDE6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.128</w:t>
            </w:r>
          </w:p>
        </w:tc>
        <w:tc>
          <w:tcPr>
            <w:tcW w:w="676" w:type="dxa"/>
            <w:vAlign w:val="center"/>
            <w:hideMark/>
          </w:tcPr>
          <w:p w14:paraId="3B9CFA0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.686</w:t>
            </w:r>
          </w:p>
        </w:tc>
        <w:tc>
          <w:tcPr>
            <w:tcW w:w="0" w:type="auto"/>
            <w:vAlign w:val="center"/>
            <w:hideMark/>
          </w:tcPr>
          <w:p w14:paraId="1031760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.494</w:t>
            </w:r>
          </w:p>
        </w:tc>
      </w:tr>
      <w:tr w:rsidR="00BC747F" w:rsidRPr="009525BC" w14:paraId="112F23CB" w14:textId="77777777" w:rsidTr="00BC747F">
        <w:trPr>
          <w:tblCellSpacing w:w="15" w:type="dxa"/>
          <w:jc w:val="center"/>
        </w:trPr>
        <w:tc>
          <w:tcPr>
            <w:tcW w:w="0" w:type="auto"/>
            <w:vAlign w:val="center"/>
            <w:hideMark/>
          </w:tcPr>
          <w:p w14:paraId="417C9516"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962" w:type="dxa"/>
            <w:vAlign w:val="center"/>
            <w:hideMark/>
          </w:tcPr>
          <w:p w14:paraId="637056B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1537" w:type="dxa"/>
            <w:vAlign w:val="center"/>
            <w:hideMark/>
          </w:tcPr>
          <w:p w14:paraId="67BB8FA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-.081</w:t>
            </w:r>
          </w:p>
        </w:tc>
        <w:tc>
          <w:tcPr>
            <w:tcW w:w="0" w:type="auto"/>
            <w:vAlign w:val="center"/>
            <w:hideMark/>
          </w:tcPr>
          <w:p w14:paraId="21821BE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.047</w:t>
            </w:r>
          </w:p>
        </w:tc>
        <w:tc>
          <w:tcPr>
            <w:tcW w:w="1475" w:type="dxa"/>
            <w:vAlign w:val="center"/>
            <w:hideMark/>
          </w:tcPr>
          <w:p w14:paraId="177670C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-.322</w:t>
            </w:r>
          </w:p>
        </w:tc>
        <w:tc>
          <w:tcPr>
            <w:tcW w:w="676" w:type="dxa"/>
            <w:vAlign w:val="center"/>
            <w:hideMark/>
          </w:tcPr>
          <w:p w14:paraId="35D02FD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-1.727</w:t>
            </w:r>
          </w:p>
        </w:tc>
        <w:tc>
          <w:tcPr>
            <w:tcW w:w="0" w:type="auto"/>
            <w:vAlign w:val="center"/>
            <w:hideMark/>
          </w:tcPr>
          <w:p w14:paraId="0EC75C5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.087</w:t>
            </w:r>
          </w:p>
        </w:tc>
      </w:tr>
    </w:tbl>
    <w:p w14:paraId="2C2CB5CD" w14:textId="146A1746" w:rsidR="001E6F74"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Dependent Variable: ABS_RES</w:t>
      </w:r>
    </w:p>
    <w:p w14:paraId="4A4748D2"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2BC187D7"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3A851DFF" w14:textId="67E80C5E"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the data in Table </w:t>
      </w:r>
      <w:r w:rsidR="00BC747F" w:rsidRPr="009525BC">
        <w:rPr>
          <w:rFonts w:ascii="Times New Roman" w:eastAsia="Times New Roman" w:hAnsi="Times New Roman" w:cs="Times New Roman"/>
          <w:sz w:val="24"/>
          <w:szCs w:val="24"/>
        </w:rPr>
        <w:t>6</w:t>
      </w:r>
      <w:r w:rsidRPr="009525BC">
        <w:rPr>
          <w:rFonts w:ascii="Times New Roman" w:eastAsia="Times New Roman" w:hAnsi="Times New Roman" w:cs="Times New Roman"/>
          <w:sz w:val="24"/>
          <w:szCs w:val="24"/>
        </w:rPr>
        <w:t>, it is proven that the points are above and below the value 0. This shows that there is no heteroscedasticity in this regression model.</w:t>
      </w:r>
    </w:p>
    <w:p w14:paraId="520F2634" w14:textId="77777777" w:rsidR="00BC747F" w:rsidRPr="009525BC" w:rsidRDefault="00BC747F">
      <w:pPr>
        <w:spacing w:after="0" w:line="276" w:lineRule="auto"/>
        <w:ind w:firstLine="709"/>
        <w:jc w:val="both"/>
        <w:rPr>
          <w:rFonts w:ascii="Times New Roman" w:eastAsia="Times New Roman" w:hAnsi="Times New Roman" w:cs="Times New Roman"/>
          <w:sz w:val="24"/>
          <w:szCs w:val="24"/>
        </w:rPr>
      </w:pPr>
    </w:p>
    <w:p w14:paraId="1FDC7FC7"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Multiple Linear Regression Analysis</w:t>
      </w:r>
    </w:p>
    <w:p w14:paraId="691EBB59" w14:textId="77777777" w:rsidR="00493FF0" w:rsidRPr="009525BC" w:rsidRDefault="00493FF0">
      <w:pPr>
        <w:spacing w:after="0" w:line="276" w:lineRule="auto"/>
        <w:ind w:firstLine="709"/>
        <w:jc w:val="center"/>
        <w:rPr>
          <w:rFonts w:ascii="Times New Roman" w:eastAsia="Times New Roman" w:hAnsi="Times New Roman" w:cs="Times New Roman"/>
          <w:b/>
          <w:sz w:val="24"/>
          <w:szCs w:val="24"/>
        </w:rPr>
      </w:pPr>
    </w:p>
    <w:p w14:paraId="5B063F2A" w14:textId="7BB941A9" w:rsidR="001E6F74" w:rsidRPr="009525BC" w:rsidRDefault="00000000" w:rsidP="00BC747F">
      <w:pPr>
        <w:spacing w:after="0" w:line="276" w:lineRule="auto"/>
        <w:jc w:val="center"/>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 xml:space="preserve">Table </w:t>
      </w:r>
      <w:r w:rsidR="00BC747F" w:rsidRPr="009525BC">
        <w:rPr>
          <w:rFonts w:ascii="Times New Roman" w:eastAsia="Times New Roman" w:hAnsi="Times New Roman" w:cs="Times New Roman"/>
          <w:b/>
          <w:sz w:val="24"/>
          <w:szCs w:val="24"/>
        </w:rPr>
        <w:t>7</w:t>
      </w:r>
      <w:r w:rsidRPr="009525BC">
        <w:rPr>
          <w:rFonts w:ascii="Times New Roman" w:eastAsia="Times New Roman" w:hAnsi="Times New Roman" w:cs="Times New Roman"/>
          <w:b/>
          <w:sz w:val="24"/>
          <w:szCs w:val="24"/>
        </w:rPr>
        <w:t>. Results of Multiple Linear Regression Analysis</w:t>
      </w:r>
    </w:p>
    <w:p w14:paraId="2A665AFB" w14:textId="77777777" w:rsidR="00BC747F" w:rsidRPr="009525BC" w:rsidRDefault="00BC747F" w:rsidP="00BC747F">
      <w:pPr>
        <w:spacing w:before="100" w:beforeAutospacing="1" w:after="100" w:afterAutospacing="1"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lastRenderedPageBreak/>
        <w:t>Coefficients</w:t>
      </w:r>
      <w:r w:rsidRPr="009525BC">
        <w:rPr>
          <w:rFonts w:ascii="Times New Roman" w:eastAsia="Times New Roman" w:hAnsi="Times New Roman" w:cs="Times New Roman"/>
          <w:sz w:val="24"/>
          <w:szCs w:val="24"/>
          <w:vertAlign w:val="superscript"/>
        </w:rPr>
        <w:t>a</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702"/>
        <w:gridCol w:w="1404"/>
        <w:gridCol w:w="2106"/>
        <w:gridCol w:w="778"/>
        <w:gridCol w:w="1852"/>
        <w:gridCol w:w="600"/>
        <w:gridCol w:w="495"/>
      </w:tblGrid>
      <w:tr w:rsidR="00BC747F" w:rsidRPr="009525BC" w14:paraId="176A5EBA" w14:textId="77777777" w:rsidTr="00BC747F">
        <w:trPr>
          <w:tblHeader/>
          <w:tblCellSpacing w:w="15" w:type="dxa"/>
        </w:trPr>
        <w:tc>
          <w:tcPr>
            <w:tcW w:w="0" w:type="auto"/>
            <w:vAlign w:val="center"/>
            <w:hideMark/>
          </w:tcPr>
          <w:p w14:paraId="33BD1ED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Model</w:t>
            </w:r>
          </w:p>
        </w:tc>
        <w:tc>
          <w:tcPr>
            <w:tcW w:w="0" w:type="auto"/>
            <w:vAlign w:val="center"/>
            <w:hideMark/>
          </w:tcPr>
          <w:p w14:paraId="7954AE70"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40B4EF7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Unstandardized Coefficients</w:t>
            </w:r>
          </w:p>
        </w:tc>
        <w:tc>
          <w:tcPr>
            <w:tcW w:w="0" w:type="auto"/>
            <w:vAlign w:val="center"/>
            <w:hideMark/>
          </w:tcPr>
          <w:p w14:paraId="78531D37"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2794AC4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Standardized Coefficients</w:t>
            </w:r>
          </w:p>
        </w:tc>
        <w:tc>
          <w:tcPr>
            <w:tcW w:w="0" w:type="auto"/>
            <w:vAlign w:val="center"/>
            <w:hideMark/>
          </w:tcPr>
          <w:p w14:paraId="0DA2362D"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23052508" w14:textId="77777777" w:rsidR="00BC747F" w:rsidRPr="009525BC" w:rsidRDefault="00BC747F" w:rsidP="00BC747F">
            <w:pPr>
              <w:spacing w:after="0" w:line="240" w:lineRule="auto"/>
              <w:rPr>
                <w:rFonts w:ascii="Times New Roman" w:eastAsia="Times New Roman" w:hAnsi="Times New Roman" w:cs="Times New Roman"/>
                <w:sz w:val="20"/>
                <w:szCs w:val="20"/>
              </w:rPr>
            </w:pPr>
          </w:p>
        </w:tc>
      </w:tr>
      <w:tr w:rsidR="00BC747F" w:rsidRPr="009525BC" w14:paraId="74486164" w14:textId="77777777" w:rsidTr="00BC747F">
        <w:trPr>
          <w:tblCellSpacing w:w="15" w:type="dxa"/>
        </w:trPr>
        <w:tc>
          <w:tcPr>
            <w:tcW w:w="0" w:type="auto"/>
            <w:vAlign w:val="center"/>
            <w:hideMark/>
          </w:tcPr>
          <w:p w14:paraId="66C0CF99"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0" w:type="auto"/>
            <w:vAlign w:val="center"/>
            <w:hideMark/>
          </w:tcPr>
          <w:p w14:paraId="0DE90C1C"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0" w:type="auto"/>
            <w:vAlign w:val="center"/>
            <w:hideMark/>
          </w:tcPr>
          <w:p w14:paraId="4082346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w:t>
            </w:r>
          </w:p>
        </w:tc>
        <w:tc>
          <w:tcPr>
            <w:tcW w:w="0" w:type="auto"/>
            <w:vAlign w:val="center"/>
            <w:hideMark/>
          </w:tcPr>
          <w:p w14:paraId="5E2085D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Std. Error</w:t>
            </w:r>
          </w:p>
        </w:tc>
        <w:tc>
          <w:tcPr>
            <w:tcW w:w="0" w:type="auto"/>
            <w:vAlign w:val="center"/>
            <w:hideMark/>
          </w:tcPr>
          <w:p w14:paraId="20BC6F9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Beta</w:t>
            </w:r>
          </w:p>
        </w:tc>
        <w:tc>
          <w:tcPr>
            <w:tcW w:w="0" w:type="auto"/>
            <w:vAlign w:val="center"/>
            <w:hideMark/>
          </w:tcPr>
          <w:p w14:paraId="7810BFF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w:t>
            </w:r>
          </w:p>
        </w:tc>
        <w:tc>
          <w:tcPr>
            <w:tcW w:w="0" w:type="auto"/>
            <w:vAlign w:val="center"/>
            <w:hideMark/>
          </w:tcPr>
          <w:p w14:paraId="35A0C8E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Sig.</w:t>
            </w:r>
          </w:p>
        </w:tc>
      </w:tr>
      <w:tr w:rsidR="00BC747F" w:rsidRPr="009525BC" w14:paraId="05214127" w14:textId="77777777" w:rsidTr="00BC747F">
        <w:trPr>
          <w:tblCellSpacing w:w="15" w:type="dxa"/>
        </w:trPr>
        <w:tc>
          <w:tcPr>
            <w:tcW w:w="0" w:type="auto"/>
            <w:vAlign w:val="center"/>
            <w:hideMark/>
          </w:tcPr>
          <w:p w14:paraId="17CD35D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0" w:type="auto"/>
            <w:vAlign w:val="center"/>
            <w:hideMark/>
          </w:tcPr>
          <w:p w14:paraId="36980E9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(Constant)</w:t>
            </w:r>
          </w:p>
        </w:tc>
        <w:tc>
          <w:tcPr>
            <w:tcW w:w="0" w:type="auto"/>
            <w:vAlign w:val="center"/>
            <w:hideMark/>
          </w:tcPr>
          <w:p w14:paraId="02739BC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13.747</w:t>
            </w:r>
          </w:p>
        </w:tc>
        <w:tc>
          <w:tcPr>
            <w:tcW w:w="0" w:type="auto"/>
            <w:vAlign w:val="center"/>
            <w:hideMark/>
          </w:tcPr>
          <w:p w14:paraId="282B151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1.495</w:t>
            </w:r>
          </w:p>
        </w:tc>
        <w:tc>
          <w:tcPr>
            <w:tcW w:w="0" w:type="auto"/>
            <w:vAlign w:val="center"/>
            <w:hideMark/>
          </w:tcPr>
          <w:p w14:paraId="17D5660F"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70B90F3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9.197</w:t>
            </w:r>
          </w:p>
        </w:tc>
        <w:tc>
          <w:tcPr>
            <w:tcW w:w="0" w:type="auto"/>
            <w:vAlign w:val="center"/>
            <w:hideMark/>
          </w:tcPr>
          <w:p w14:paraId="068A5D1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p>
        </w:tc>
      </w:tr>
      <w:tr w:rsidR="00BC747F" w:rsidRPr="009525BC" w14:paraId="07164139" w14:textId="77777777" w:rsidTr="00BC747F">
        <w:trPr>
          <w:tblCellSpacing w:w="15" w:type="dxa"/>
        </w:trPr>
        <w:tc>
          <w:tcPr>
            <w:tcW w:w="0" w:type="auto"/>
            <w:vAlign w:val="center"/>
            <w:hideMark/>
          </w:tcPr>
          <w:p w14:paraId="67CD1ED3"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4324848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c>
          <w:tcPr>
            <w:tcW w:w="0" w:type="auto"/>
            <w:vAlign w:val="center"/>
            <w:hideMark/>
          </w:tcPr>
          <w:p w14:paraId="6AFE17B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-.039</w:t>
            </w:r>
          </w:p>
        </w:tc>
        <w:tc>
          <w:tcPr>
            <w:tcW w:w="0" w:type="auto"/>
            <w:vAlign w:val="center"/>
            <w:hideMark/>
          </w:tcPr>
          <w:p w14:paraId="30E1E44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.134</w:t>
            </w:r>
          </w:p>
        </w:tc>
        <w:tc>
          <w:tcPr>
            <w:tcW w:w="0" w:type="auto"/>
            <w:vAlign w:val="center"/>
            <w:hideMark/>
          </w:tcPr>
          <w:p w14:paraId="64FEAB2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-.038</w:t>
            </w:r>
          </w:p>
        </w:tc>
        <w:tc>
          <w:tcPr>
            <w:tcW w:w="0" w:type="auto"/>
            <w:vAlign w:val="center"/>
            <w:hideMark/>
          </w:tcPr>
          <w:p w14:paraId="18F864E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-.291</w:t>
            </w:r>
          </w:p>
        </w:tc>
        <w:tc>
          <w:tcPr>
            <w:tcW w:w="0" w:type="auto"/>
            <w:vAlign w:val="center"/>
            <w:hideMark/>
          </w:tcPr>
          <w:p w14:paraId="0C43260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.771</w:t>
            </w:r>
          </w:p>
        </w:tc>
      </w:tr>
      <w:tr w:rsidR="00BC747F" w:rsidRPr="009525BC" w14:paraId="59D736CB" w14:textId="77777777" w:rsidTr="00BC747F">
        <w:trPr>
          <w:tblCellSpacing w:w="15" w:type="dxa"/>
        </w:trPr>
        <w:tc>
          <w:tcPr>
            <w:tcW w:w="0" w:type="auto"/>
            <w:vAlign w:val="center"/>
            <w:hideMark/>
          </w:tcPr>
          <w:p w14:paraId="7BD0CC0B"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1430C5D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0" w:type="auto"/>
            <w:vAlign w:val="center"/>
            <w:hideMark/>
          </w:tcPr>
          <w:p w14:paraId="2E23C9D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.485</w:t>
            </w:r>
          </w:p>
        </w:tc>
        <w:tc>
          <w:tcPr>
            <w:tcW w:w="0" w:type="auto"/>
            <w:vAlign w:val="center"/>
            <w:hideMark/>
          </w:tcPr>
          <w:p w14:paraId="2E03F29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.085</w:t>
            </w:r>
          </w:p>
        </w:tc>
        <w:tc>
          <w:tcPr>
            <w:tcW w:w="0" w:type="auto"/>
            <w:vAlign w:val="center"/>
            <w:hideMark/>
          </w:tcPr>
          <w:p w14:paraId="687D388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.756</w:t>
            </w:r>
          </w:p>
        </w:tc>
        <w:tc>
          <w:tcPr>
            <w:tcW w:w="0" w:type="auto"/>
            <w:vAlign w:val="center"/>
            <w:hideMark/>
          </w:tcPr>
          <w:p w14:paraId="26EE986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5.721</w:t>
            </w:r>
          </w:p>
        </w:tc>
        <w:tc>
          <w:tcPr>
            <w:tcW w:w="0" w:type="auto"/>
            <w:vAlign w:val="center"/>
            <w:hideMark/>
          </w:tcPr>
          <w:p w14:paraId="2A5A00A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p>
        </w:tc>
      </w:tr>
    </w:tbl>
    <w:p w14:paraId="19B21570" w14:textId="57DC9704" w:rsidR="001E6F74"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Dependent Variable: Productivity</w:t>
      </w:r>
    </w:p>
    <w:p w14:paraId="5FED21BB"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2733FE0B"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10A5B02F" w14:textId="6F9D7AB3"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the data in table </w:t>
      </w:r>
      <w:r w:rsidR="00BC747F" w:rsidRPr="009525BC">
        <w:rPr>
          <w:rFonts w:ascii="Times New Roman" w:eastAsia="Times New Roman" w:hAnsi="Times New Roman" w:cs="Times New Roman"/>
          <w:sz w:val="24"/>
          <w:szCs w:val="24"/>
        </w:rPr>
        <w:t>7</w:t>
      </w:r>
      <w:r w:rsidRPr="009525BC">
        <w:rPr>
          <w:rFonts w:ascii="Times New Roman" w:eastAsia="Times New Roman" w:hAnsi="Times New Roman" w:cs="Times New Roman"/>
          <w:sz w:val="24"/>
          <w:szCs w:val="24"/>
        </w:rPr>
        <w:t>, the multiple linear regression model in this study can be formulated as follows:</w:t>
      </w:r>
    </w:p>
    <w:p w14:paraId="3F64B9CA"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Y = 13,747 + 0.039 X1 + 0.485 X2 + e</w:t>
      </w:r>
    </w:p>
    <w:p w14:paraId="16385580"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0A34BE2F"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constant value (α) of 13,747 means that if the independent variables, namely motivation (X1), work experience (X2) have a value of 0 (zero), then the work productivity variable will be at 13,747. The coefficient of the motivation variable (b1) from the linear regression calculation of the coefficients value (b) = 0.039. This means that if motivation increases by one unit while other variables remain constant, employee work productivity will increase by 0.039. The coefficient of the work experience variable (b2) from the linear regression calculation of the coefficients value (b) = 0.485.</w:t>
      </w:r>
    </w:p>
    <w:p w14:paraId="2470CAC5"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This means that if the work experience variable increases by one unit and the other variables remain constant, employee work productivity will increase by 0.485.</w:t>
      </w:r>
    </w:p>
    <w:p w14:paraId="4AB91B15" w14:textId="77777777" w:rsidR="00BC747F" w:rsidRPr="009525BC" w:rsidRDefault="00BC747F">
      <w:pPr>
        <w:spacing w:after="0" w:line="276" w:lineRule="auto"/>
        <w:ind w:firstLine="709"/>
        <w:jc w:val="both"/>
        <w:rPr>
          <w:rFonts w:ascii="Times New Roman" w:eastAsia="Times New Roman" w:hAnsi="Times New Roman" w:cs="Times New Roman"/>
          <w:sz w:val="24"/>
          <w:szCs w:val="24"/>
        </w:rPr>
      </w:pPr>
    </w:p>
    <w:p w14:paraId="161FBC2A"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Simultaneous Significance Test (F Test)</w:t>
      </w:r>
    </w:p>
    <w:p w14:paraId="5A824D81" w14:textId="77777777" w:rsidR="00493FF0" w:rsidRPr="009525BC" w:rsidRDefault="00493FF0">
      <w:pPr>
        <w:spacing w:after="0" w:line="276" w:lineRule="auto"/>
        <w:ind w:firstLine="709"/>
        <w:jc w:val="center"/>
        <w:rPr>
          <w:rFonts w:ascii="Times New Roman" w:eastAsia="Times New Roman" w:hAnsi="Times New Roman" w:cs="Times New Roman"/>
          <w:b/>
          <w:sz w:val="24"/>
          <w:szCs w:val="24"/>
        </w:rPr>
      </w:pPr>
    </w:p>
    <w:p w14:paraId="53E43B2F" w14:textId="605FF158"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 xml:space="preserve">Table </w:t>
      </w:r>
      <w:r w:rsidR="00BC747F" w:rsidRPr="009525BC">
        <w:rPr>
          <w:rFonts w:ascii="Times New Roman" w:eastAsia="Times New Roman" w:hAnsi="Times New Roman" w:cs="Times New Roman"/>
          <w:b/>
          <w:sz w:val="24"/>
          <w:szCs w:val="24"/>
        </w:rPr>
        <w:t>8</w:t>
      </w:r>
      <w:r w:rsidRPr="009525BC">
        <w:rPr>
          <w:rFonts w:ascii="Times New Roman" w:eastAsia="Times New Roman" w:hAnsi="Times New Roman" w:cs="Times New Roman"/>
          <w:b/>
          <w:sz w:val="24"/>
          <w:szCs w:val="24"/>
        </w:rPr>
        <w:t>. F Test Results</w:t>
      </w:r>
    </w:p>
    <w:p w14:paraId="76439DBA" w14:textId="77777777" w:rsidR="00BC747F" w:rsidRPr="009525BC" w:rsidRDefault="00BC747F" w:rsidP="00BC747F">
      <w:pPr>
        <w:spacing w:before="100" w:beforeAutospacing="1" w:after="100" w:afterAutospacing="1"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ANOVA</w:t>
      </w:r>
      <w:r w:rsidRPr="009525BC">
        <w:rPr>
          <w:rFonts w:ascii="Times New Roman" w:eastAsia="Times New Roman" w:hAnsi="Times New Roman" w:cs="Times New Roman"/>
          <w:sz w:val="24"/>
          <w:szCs w:val="24"/>
          <w:vertAlign w:val="superscript"/>
        </w:rPr>
        <w:t>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4"/>
        <w:gridCol w:w="1415"/>
        <w:gridCol w:w="1987"/>
        <w:gridCol w:w="370"/>
        <w:gridCol w:w="1676"/>
        <w:gridCol w:w="900"/>
        <w:gridCol w:w="715"/>
      </w:tblGrid>
      <w:tr w:rsidR="00BC747F" w:rsidRPr="009525BC" w14:paraId="2157D874" w14:textId="77777777" w:rsidTr="00BC747F">
        <w:trPr>
          <w:tblHeader/>
          <w:tblCellSpacing w:w="15" w:type="dxa"/>
        </w:trPr>
        <w:tc>
          <w:tcPr>
            <w:tcW w:w="518" w:type="pct"/>
            <w:vAlign w:val="center"/>
            <w:hideMark/>
          </w:tcPr>
          <w:p w14:paraId="1B06E2B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Model</w:t>
            </w:r>
          </w:p>
        </w:tc>
        <w:tc>
          <w:tcPr>
            <w:tcW w:w="866" w:type="pct"/>
            <w:vAlign w:val="center"/>
            <w:hideMark/>
          </w:tcPr>
          <w:p w14:paraId="72340727"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1223" w:type="pct"/>
            <w:vAlign w:val="center"/>
            <w:hideMark/>
          </w:tcPr>
          <w:p w14:paraId="5103555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Sum of Squares</w:t>
            </w:r>
          </w:p>
        </w:tc>
        <w:tc>
          <w:tcPr>
            <w:tcW w:w="213" w:type="pct"/>
            <w:vAlign w:val="center"/>
            <w:hideMark/>
          </w:tcPr>
          <w:p w14:paraId="07EE7D5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df</w:t>
            </w:r>
          </w:p>
        </w:tc>
        <w:tc>
          <w:tcPr>
            <w:tcW w:w="1028" w:type="pct"/>
            <w:vAlign w:val="center"/>
            <w:hideMark/>
          </w:tcPr>
          <w:p w14:paraId="634C5BE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Mean Square</w:t>
            </w:r>
          </w:p>
        </w:tc>
        <w:tc>
          <w:tcPr>
            <w:tcW w:w="544" w:type="pct"/>
            <w:vAlign w:val="center"/>
            <w:hideMark/>
          </w:tcPr>
          <w:p w14:paraId="036ECE8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F</w:t>
            </w:r>
          </w:p>
        </w:tc>
        <w:tc>
          <w:tcPr>
            <w:tcW w:w="418" w:type="pct"/>
            <w:vAlign w:val="center"/>
            <w:hideMark/>
          </w:tcPr>
          <w:p w14:paraId="4CF6564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Sig.</w:t>
            </w:r>
          </w:p>
        </w:tc>
      </w:tr>
      <w:tr w:rsidR="00BC747F" w:rsidRPr="009525BC" w14:paraId="173F56AF" w14:textId="77777777" w:rsidTr="00BC747F">
        <w:trPr>
          <w:tblCellSpacing w:w="15" w:type="dxa"/>
        </w:trPr>
        <w:tc>
          <w:tcPr>
            <w:tcW w:w="518" w:type="pct"/>
            <w:vAlign w:val="center"/>
            <w:hideMark/>
          </w:tcPr>
          <w:p w14:paraId="42178FA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866" w:type="pct"/>
            <w:vAlign w:val="center"/>
            <w:hideMark/>
          </w:tcPr>
          <w:p w14:paraId="1CEE549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Regression</w:t>
            </w:r>
          </w:p>
        </w:tc>
        <w:tc>
          <w:tcPr>
            <w:tcW w:w="1223" w:type="pct"/>
            <w:vAlign w:val="center"/>
            <w:hideMark/>
          </w:tcPr>
          <w:p w14:paraId="7E2F8EF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1020.031</w:t>
            </w:r>
          </w:p>
        </w:tc>
        <w:tc>
          <w:tcPr>
            <w:tcW w:w="213" w:type="pct"/>
            <w:vAlign w:val="center"/>
            <w:hideMark/>
          </w:tcPr>
          <w:p w14:paraId="018CE52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2</w:t>
            </w:r>
          </w:p>
        </w:tc>
        <w:tc>
          <w:tcPr>
            <w:tcW w:w="1028" w:type="pct"/>
            <w:vAlign w:val="center"/>
            <w:hideMark/>
          </w:tcPr>
          <w:p w14:paraId="154035B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510.016</w:t>
            </w:r>
          </w:p>
        </w:tc>
        <w:tc>
          <w:tcPr>
            <w:tcW w:w="544" w:type="pct"/>
            <w:vAlign w:val="center"/>
            <w:hideMark/>
          </w:tcPr>
          <w:p w14:paraId="5B5A069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53.347</w:t>
            </w:r>
          </w:p>
        </w:tc>
        <w:tc>
          <w:tcPr>
            <w:tcW w:w="418" w:type="pct"/>
            <w:vAlign w:val="center"/>
            <w:hideMark/>
          </w:tcPr>
          <w:p w14:paraId="27BCF63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r w:rsidRPr="009525BC">
              <w:rPr>
                <w:rFonts w:ascii="Times New Roman" w:eastAsia="Times New Roman" w:hAnsi="Times New Roman" w:cs="Times New Roman"/>
                <w:sz w:val="24"/>
                <w:szCs w:val="24"/>
                <w:vertAlign w:val="superscript"/>
              </w:rPr>
              <w:t>b</w:t>
            </w:r>
          </w:p>
        </w:tc>
      </w:tr>
      <w:tr w:rsidR="00BC747F" w:rsidRPr="009525BC" w14:paraId="542D41F6" w14:textId="77777777" w:rsidTr="00BC747F">
        <w:trPr>
          <w:tblCellSpacing w:w="15" w:type="dxa"/>
        </w:trPr>
        <w:tc>
          <w:tcPr>
            <w:tcW w:w="518" w:type="pct"/>
            <w:vAlign w:val="center"/>
            <w:hideMark/>
          </w:tcPr>
          <w:p w14:paraId="73ED26DA"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866" w:type="pct"/>
            <w:vAlign w:val="center"/>
            <w:hideMark/>
          </w:tcPr>
          <w:p w14:paraId="6BF86AA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Residual</w:t>
            </w:r>
          </w:p>
        </w:tc>
        <w:tc>
          <w:tcPr>
            <w:tcW w:w="1223" w:type="pct"/>
            <w:vAlign w:val="center"/>
            <w:hideMark/>
          </w:tcPr>
          <w:p w14:paraId="341FC95B"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927.359</w:t>
            </w:r>
          </w:p>
        </w:tc>
        <w:tc>
          <w:tcPr>
            <w:tcW w:w="213" w:type="pct"/>
            <w:vAlign w:val="center"/>
            <w:hideMark/>
          </w:tcPr>
          <w:p w14:paraId="427C6F51"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97</w:t>
            </w:r>
          </w:p>
        </w:tc>
        <w:tc>
          <w:tcPr>
            <w:tcW w:w="1028" w:type="pct"/>
            <w:vAlign w:val="center"/>
            <w:hideMark/>
          </w:tcPr>
          <w:p w14:paraId="3AC7464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9.560</w:t>
            </w:r>
          </w:p>
        </w:tc>
        <w:tc>
          <w:tcPr>
            <w:tcW w:w="544" w:type="pct"/>
            <w:vAlign w:val="center"/>
            <w:hideMark/>
          </w:tcPr>
          <w:p w14:paraId="09E0C39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418" w:type="pct"/>
            <w:vAlign w:val="center"/>
            <w:hideMark/>
          </w:tcPr>
          <w:p w14:paraId="0EBBC2CF" w14:textId="77777777" w:rsidR="00BC747F" w:rsidRPr="009525BC" w:rsidRDefault="00BC747F" w:rsidP="00BC747F">
            <w:pPr>
              <w:spacing w:after="0" w:line="240" w:lineRule="auto"/>
              <w:rPr>
                <w:rFonts w:ascii="Times New Roman" w:eastAsia="Times New Roman" w:hAnsi="Times New Roman" w:cs="Times New Roman"/>
                <w:sz w:val="20"/>
                <w:szCs w:val="20"/>
              </w:rPr>
            </w:pPr>
          </w:p>
        </w:tc>
      </w:tr>
      <w:tr w:rsidR="00BC747F" w:rsidRPr="009525BC" w14:paraId="7C65B9FB" w14:textId="77777777" w:rsidTr="00BC747F">
        <w:trPr>
          <w:tblCellSpacing w:w="15" w:type="dxa"/>
        </w:trPr>
        <w:tc>
          <w:tcPr>
            <w:tcW w:w="518" w:type="pct"/>
            <w:vAlign w:val="center"/>
            <w:hideMark/>
          </w:tcPr>
          <w:p w14:paraId="67484E23"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866" w:type="pct"/>
            <w:vAlign w:val="center"/>
            <w:hideMark/>
          </w:tcPr>
          <w:p w14:paraId="5BEA716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Total</w:t>
            </w:r>
          </w:p>
        </w:tc>
        <w:tc>
          <w:tcPr>
            <w:tcW w:w="1223" w:type="pct"/>
            <w:vAlign w:val="center"/>
            <w:hideMark/>
          </w:tcPr>
          <w:p w14:paraId="4C0D4A5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1947.390</w:t>
            </w:r>
          </w:p>
        </w:tc>
        <w:tc>
          <w:tcPr>
            <w:tcW w:w="213" w:type="pct"/>
            <w:vAlign w:val="center"/>
            <w:hideMark/>
          </w:tcPr>
          <w:p w14:paraId="34E9E83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99</w:t>
            </w:r>
          </w:p>
        </w:tc>
        <w:tc>
          <w:tcPr>
            <w:tcW w:w="1028" w:type="pct"/>
            <w:vAlign w:val="center"/>
            <w:hideMark/>
          </w:tcPr>
          <w:p w14:paraId="0C7E3C15"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544" w:type="pct"/>
            <w:vAlign w:val="center"/>
            <w:hideMark/>
          </w:tcPr>
          <w:p w14:paraId="61D3AAA6"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418" w:type="pct"/>
            <w:vAlign w:val="center"/>
            <w:hideMark/>
          </w:tcPr>
          <w:p w14:paraId="104684EA" w14:textId="77777777" w:rsidR="00BC747F" w:rsidRPr="009525BC" w:rsidRDefault="00BC747F" w:rsidP="00BC747F">
            <w:pPr>
              <w:spacing w:after="0" w:line="240" w:lineRule="auto"/>
              <w:rPr>
                <w:rFonts w:ascii="Times New Roman" w:eastAsia="Times New Roman" w:hAnsi="Times New Roman" w:cs="Times New Roman"/>
                <w:sz w:val="20"/>
                <w:szCs w:val="20"/>
              </w:rPr>
            </w:pPr>
          </w:p>
        </w:tc>
      </w:tr>
    </w:tbl>
    <w:p w14:paraId="2354910D"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a. Dependent Variable: Productivity </w:t>
      </w:r>
    </w:p>
    <w:p w14:paraId="48EA3832" w14:textId="5BBAAB90"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 Predictors: (Constant), Work Experience, Motivation</w:t>
      </w:r>
    </w:p>
    <w:p w14:paraId="481728C6"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2019</w:t>
      </w:r>
    </w:p>
    <w:p w14:paraId="3B8416E9"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556FC076" w14:textId="78D3ADCE"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table </w:t>
      </w:r>
      <w:r w:rsidR="00BC747F" w:rsidRPr="009525BC">
        <w:rPr>
          <w:rFonts w:ascii="Times New Roman" w:eastAsia="Times New Roman" w:hAnsi="Times New Roman" w:cs="Times New Roman"/>
          <w:sz w:val="24"/>
          <w:szCs w:val="24"/>
        </w:rPr>
        <w:t>8</w:t>
      </w:r>
      <w:r w:rsidRPr="009525BC">
        <w:rPr>
          <w:rFonts w:ascii="Times New Roman" w:eastAsia="Times New Roman" w:hAnsi="Times New Roman" w:cs="Times New Roman"/>
          <w:sz w:val="24"/>
          <w:szCs w:val="24"/>
        </w:rPr>
        <w:t>, it shows that the calculated f test value (53.347) &gt; f table (2.70) with a significance of 0.000 &lt; 0.05, so it can be concluded that Ho is rejected, meaning that the variables of motivation and work experience simultaneously have a positive effect on work productivity at Anak Garuda Shop Batu.</w:t>
      </w:r>
    </w:p>
    <w:p w14:paraId="087828A8" w14:textId="77777777" w:rsidR="00493FF0" w:rsidRPr="009525BC" w:rsidRDefault="00493FF0" w:rsidP="00BC747F">
      <w:pPr>
        <w:spacing w:after="0" w:line="276" w:lineRule="auto"/>
        <w:jc w:val="both"/>
        <w:rPr>
          <w:rFonts w:ascii="Times New Roman" w:eastAsia="Times New Roman" w:hAnsi="Times New Roman" w:cs="Times New Roman"/>
          <w:sz w:val="24"/>
          <w:szCs w:val="24"/>
        </w:rPr>
      </w:pPr>
    </w:p>
    <w:p w14:paraId="04BC77DF"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Partial Significance Test (t-Test)</w:t>
      </w:r>
    </w:p>
    <w:p w14:paraId="4D4F5A63" w14:textId="77777777" w:rsidR="00493FF0" w:rsidRPr="009525BC" w:rsidRDefault="00493FF0" w:rsidP="00493FF0">
      <w:pPr>
        <w:spacing w:after="0" w:line="276" w:lineRule="auto"/>
        <w:jc w:val="center"/>
        <w:rPr>
          <w:rFonts w:ascii="Times New Roman" w:eastAsia="Times New Roman" w:hAnsi="Times New Roman" w:cs="Times New Roman"/>
          <w:b/>
          <w:sz w:val="24"/>
          <w:szCs w:val="24"/>
        </w:rPr>
      </w:pPr>
    </w:p>
    <w:p w14:paraId="784B6087" w14:textId="77777777" w:rsidR="001E6F74" w:rsidRPr="009525BC" w:rsidRDefault="00000000" w:rsidP="00493FF0">
      <w:pPr>
        <w:spacing w:after="0" w:line="276"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Table 10. t-Test Results</w:t>
      </w:r>
    </w:p>
    <w:p w14:paraId="42273A25" w14:textId="77777777" w:rsidR="00BC747F" w:rsidRPr="009525BC" w:rsidRDefault="00BC747F" w:rsidP="00BC747F">
      <w:pPr>
        <w:spacing w:before="100" w:beforeAutospacing="1" w:after="100" w:afterAutospacing="1" w:line="240" w:lineRule="auto"/>
        <w:jc w:val="center"/>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Coefficients</w:t>
      </w:r>
      <w:r w:rsidRPr="009525BC">
        <w:rPr>
          <w:rFonts w:ascii="Times New Roman" w:eastAsia="Times New Roman" w:hAnsi="Times New Roman" w:cs="Times New Roman"/>
          <w:sz w:val="24"/>
          <w:szCs w:val="24"/>
          <w:vertAlign w:val="superscript"/>
        </w:rPr>
        <w:t>a</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702"/>
        <w:gridCol w:w="1404"/>
        <w:gridCol w:w="2106"/>
        <w:gridCol w:w="778"/>
        <w:gridCol w:w="1852"/>
        <w:gridCol w:w="600"/>
        <w:gridCol w:w="495"/>
      </w:tblGrid>
      <w:tr w:rsidR="00BC747F" w:rsidRPr="009525BC" w14:paraId="47C200C6" w14:textId="77777777" w:rsidTr="00BC747F">
        <w:trPr>
          <w:tblHeader/>
          <w:tblCellSpacing w:w="15" w:type="dxa"/>
        </w:trPr>
        <w:tc>
          <w:tcPr>
            <w:tcW w:w="0" w:type="auto"/>
            <w:vAlign w:val="center"/>
            <w:hideMark/>
          </w:tcPr>
          <w:p w14:paraId="75EE72EE"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Model</w:t>
            </w:r>
          </w:p>
        </w:tc>
        <w:tc>
          <w:tcPr>
            <w:tcW w:w="0" w:type="auto"/>
            <w:vAlign w:val="center"/>
            <w:hideMark/>
          </w:tcPr>
          <w:p w14:paraId="57BC1E54"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66E45EB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Unstandardized Coefficients</w:t>
            </w:r>
          </w:p>
        </w:tc>
        <w:tc>
          <w:tcPr>
            <w:tcW w:w="0" w:type="auto"/>
            <w:vAlign w:val="center"/>
            <w:hideMark/>
          </w:tcPr>
          <w:p w14:paraId="6213A43F"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2690DD1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Standardized Coefficients</w:t>
            </w:r>
          </w:p>
        </w:tc>
        <w:tc>
          <w:tcPr>
            <w:tcW w:w="0" w:type="auto"/>
            <w:vAlign w:val="center"/>
            <w:hideMark/>
          </w:tcPr>
          <w:p w14:paraId="1E7E1A17"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66BBA551" w14:textId="77777777" w:rsidR="00BC747F" w:rsidRPr="009525BC" w:rsidRDefault="00BC747F" w:rsidP="00BC747F">
            <w:pPr>
              <w:spacing w:after="0" w:line="240" w:lineRule="auto"/>
              <w:rPr>
                <w:rFonts w:ascii="Times New Roman" w:eastAsia="Times New Roman" w:hAnsi="Times New Roman" w:cs="Times New Roman"/>
                <w:sz w:val="20"/>
                <w:szCs w:val="20"/>
              </w:rPr>
            </w:pPr>
          </w:p>
        </w:tc>
      </w:tr>
      <w:tr w:rsidR="00BC747F" w:rsidRPr="009525BC" w14:paraId="382FBFB3" w14:textId="77777777" w:rsidTr="00BC747F">
        <w:trPr>
          <w:tblCellSpacing w:w="15" w:type="dxa"/>
        </w:trPr>
        <w:tc>
          <w:tcPr>
            <w:tcW w:w="0" w:type="auto"/>
            <w:vAlign w:val="center"/>
            <w:hideMark/>
          </w:tcPr>
          <w:p w14:paraId="78A4786E"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0" w:type="auto"/>
            <w:vAlign w:val="center"/>
            <w:hideMark/>
          </w:tcPr>
          <w:p w14:paraId="58ACFF42" w14:textId="77777777" w:rsidR="00BC747F" w:rsidRPr="009525BC" w:rsidRDefault="00BC747F" w:rsidP="00BC747F">
            <w:pPr>
              <w:spacing w:after="0" w:line="240" w:lineRule="auto"/>
              <w:rPr>
                <w:rFonts w:ascii="Times New Roman" w:eastAsia="Times New Roman" w:hAnsi="Times New Roman" w:cs="Times New Roman"/>
                <w:sz w:val="20"/>
                <w:szCs w:val="20"/>
              </w:rPr>
            </w:pPr>
          </w:p>
        </w:tc>
        <w:tc>
          <w:tcPr>
            <w:tcW w:w="0" w:type="auto"/>
            <w:vAlign w:val="center"/>
            <w:hideMark/>
          </w:tcPr>
          <w:p w14:paraId="7FC9650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w:t>
            </w:r>
          </w:p>
        </w:tc>
        <w:tc>
          <w:tcPr>
            <w:tcW w:w="0" w:type="auto"/>
            <w:vAlign w:val="center"/>
            <w:hideMark/>
          </w:tcPr>
          <w:p w14:paraId="6C34FC5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Std. Error</w:t>
            </w:r>
          </w:p>
        </w:tc>
        <w:tc>
          <w:tcPr>
            <w:tcW w:w="0" w:type="auto"/>
            <w:vAlign w:val="center"/>
            <w:hideMark/>
          </w:tcPr>
          <w:p w14:paraId="47C2080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Beta</w:t>
            </w:r>
          </w:p>
        </w:tc>
        <w:tc>
          <w:tcPr>
            <w:tcW w:w="0" w:type="auto"/>
            <w:vAlign w:val="center"/>
            <w:hideMark/>
          </w:tcPr>
          <w:p w14:paraId="79B9B2D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w:t>
            </w:r>
          </w:p>
        </w:tc>
        <w:tc>
          <w:tcPr>
            <w:tcW w:w="0" w:type="auto"/>
            <w:vAlign w:val="center"/>
            <w:hideMark/>
          </w:tcPr>
          <w:p w14:paraId="640F40A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Sig.</w:t>
            </w:r>
          </w:p>
        </w:tc>
      </w:tr>
      <w:tr w:rsidR="00BC747F" w:rsidRPr="009525BC" w14:paraId="761A0341" w14:textId="77777777" w:rsidTr="00BC747F">
        <w:trPr>
          <w:tblCellSpacing w:w="15" w:type="dxa"/>
        </w:trPr>
        <w:tc>
          <w:tcPr>
            <w:tcW w:w="0" w:type="auto"/>
            <w:vAlign w:val="center"/>
            <w:hideMark/>
          </w:tcPr>
          <w:p w14:paraId="1ADA13FD"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0" w:type="auto"/>
            <w:vAlign w:val="center"/>
            <w:hideMark/>
          </w:tcPr>
          <w:p w14:paraId="3B3DA235"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(Constant)</w:t>
            </w:r>
          </w:p>
        </w:tc>
        <w:tc>
          <w:tcPr>
            <w:tcW w:w="0" w:type="auto"/>
            <w:vAlign w:val="center"/>
            <w:hideMark/>
          </w:tcPr>
          <w:p w14:paraId="4684A82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13.747</w:t>
            </w:r>
          </w:p>
        </w:tc>
        <w:tc>
          <w:tcPr>
            <w:tcW w:w="0" w:type="auto"/>
            <w:vAlign w:val="center"/>
            <w:hideMark/>
          </w:tcPr>
          <w:p w14:paraId="6A34361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1.495</w:t>
            </w:r>
          </w:p>
        </w:tc>
        <w:tc>
          <w:tcPr>
            <w:tcW w:w="0" w:type="auto"/>
            <w:vAlign w:val="center"/>
            <w:hideMark/>
          </w:tcPr>
          <w:p w14:paraId="700BDA3B"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11C00D6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9.197</w:t>
            </w:r>
          </w:p>
        </w:tc>
        <w:tc>
          <w:tcPr>
            <w:tcW w:w="0" w:type="auto"/>
            <w:vAlign w:val="center"/>
            <w:hideMark/>
          </w:tcPr>
          <w:p w14:paraId="0FCE3D8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p>
        </w:tc>
      </w:tr>
      <w:tr w:rsidR="00BC747F" w:rsidRPr="009525BC" w14:paraId="02DAE593" w14:textId="77777777" w:rsidTr="00BC747F">
        <w:trPr>
          <w:tblCellSpacing w:w="15" w:type="dxa"/>
        </w:trPr>
        <w:tc>
          <w:tcPr>
            <w:tcW w:w="0" w:type="auto"/>
            <w:vAlign w:val="center"/>
            <w:hideMark/>
          </w:tcPr>
          <w:p w14:paraId="5EFBD7D0"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7E93227F"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Motivation</w:t>
            </w:r>
          </w:p>
        </w:tc>
        <w:tc>
          <w:tcPr>
            <w:tcW w:w="0" w:type="auto"/>
            <w:vAlign w:val="center"/>
            <w:hideMark/>
          </w:tcPr>
          <w:p w14:paraId="6D9F5D7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-.039</w:t>
            </w:r>
          </w:p>
        </w:tc>
        <w:tc>
          <w:tcPr>
            <w:tcW w:w="0" w:type="auto"/>
            <w:vAlign w:val="center"/>
            <w:hideMark/>
          </w:tcPr>
          <w:p w14:paraId="15D19DD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.134</w:t>
            </w:r>
          </w:p>
        </w:tc>
        <w:tc>
          <w:tcPr>
            <w:tcW w:w="0" w:type="auto"/>
            <w:vAlign w:val="center"/>
            <w:hideMark/>
          </w:tcPr>
          <w:p w14:paraId="25A0DB1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-.038</w:t>
            </w:r>
          </w:p>
        </w:tc>
        <w:tc>
          <w:tcPr>
            <w:tcW w:w="0" w:type="auto"/>
            <w:vAlign w:val="center"/>
            <w:hideMark/>
          </w:tcPr>
          <w:p w14:paraId="270275C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-.291</w:t>
            </w:r>
          </w:p>
        </w:tc>
        <w:tc>
          <w:tcPr>
            <w:tcW w:w="0" w:type="auto"/>
            <w:vAlign w:val="center"/>
            <w:hideMark/>
          </w:tcPr>
          <w:p w14:paraId="246CF40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.771</w:t>
            </w:r>
          </w:p>
        </w:tc>
      </w:tr>
      <w:tr w:rsidR="00BC747F" w:rsidRPr="009525BC" w14:paraId="3FDF787F" w14:textId="77777777" w:rsidTr="00BC747F">
        <w:trPr>
          <w:tblCellSpacing w:w="15" w:type="dxa"/>
        </w:trPr>
        <w:tc>
          <w:tcPr>
            <w:tcW w:w="0" w:type="auto"/>
            <w:vAlign w:val="center"/>
            <w:hideMark/>
          </w:tcPr>
          <w:p w14:paraId="22A5E5E3" w14:textId="77777777" w:rsidR="00BC747F" w:rsidRPr="009525BC" w:rsidRDefault="00BC747F" w:rsidP="00BC747F">
            <w:pPr>
              <w:spacing w:after="0" w:line="240" w:lineRule="auto"/>
              <w:rPr>
                <w:rFonts w:ascii="Times New Roman" w:eastAsia="Times New Roman" w:hAnsi="Times New Roman" w:cs="Times New Roman"/>
                <w:sz w:val="24"/>
                <w:szCs w:val="24"/>
              </w:rPr>
            </w:pPr>
          </w:p>
        </w:tc>
        <w:tc>
          <w:tcPr>
            <w:tcW w:w="0" w:type="auto"/>
            <w:vAlign w:val="center"/>
            <w:hideMark/>
          </w:tcPr>
          <w:p w14:paraId="5170F2C2"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Work Experience</w:t>
            </w:r>
          </w:p>
        </w:tc>
        <w:tc>
          <w:tcPr>
            <w:tcW w:w="0" w:type="auto"/>
            <w:vAlign w:val="center"/>
            <w:hideMark/>
          </w:tcPr>
          <w:p w14:paraId="751DDD48"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.485</w:t>
            </w:r>
          </w:p>
        </w:tc>
        <w:tc>
          <w:tcPr>
            <w:tcW w:w="0" w:type="auto"/>
            <w:vAlign w:val="center"/>
            <w:hideMark/>
          </w:tcPr>
          <w:p w14:paraId="15BF071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.085</w:t>
            </w:r>
          </w:p>
        </w:tc>
        <w:tc>
          <w:tcPr>
            <w:tcW w:w="0" w:type="auto"/>
            <w:vAlign w:val="center"/>
            <w:hideMark/>
          </w:tcPr>
          <w:p w14:paraId="5C7F1760"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.756</w:t>
            </w:r>
          </w:p>
        </w:tc>
        <w:tc>
          <w:tcPr>
            <w:tcW w:w="0" w:type="auto"/>
            <w:vAlign w:val="center"/>
            <w:hideMark/>
          </w:tcPr>
          <w:p w14:paraId="12B0B5E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5.721</w:t>
            </w:r>
          </w:p>
        </w:tc>
        <w:tc>
          <w:tcPr>
            <w:tcW w:w="0" w:type="auto"/>
            <w:vAlign w:val="center"/>
            <w:hideMark/>
          </w:tcPr>
          <w:p w14:paraId="203F8509"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.000</w:t>
            </w:r>
          </w:p>
        </w:tc>
      </w:tr>
    </w:tbl>
    <w:p w14:paraId="591DD5CE"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Dependent Variable: Productivity</w:t>
      </w:r>
    </w:p>
    <w:p w14:paraId="1C3E658D"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20CAA120" w14:textId="77777777" w:rsidR="001E6F74" w:rsidRPr="009525BC" w:rsidRDefault="001E6F74">
      <w:pPr>
        <w:spacing w:after="0" w:line="276" w:lineRule="auto"/>
        <w:ind w:firstLine="709"/>
        <w:jc w:val="center"/>
        <w:rPr>
          <w:rFonts w:ascii="Times New Roman" w:eastAsia="Times New Roman" w:hAnsi="Times New Roman" w:cs="Times New Roman"/>
          <w:sz w:val="24"/>
          <w:szCs w:val="24"/>
        </w:rPr>
      </w:pPr>
    </w:p>
    <w:p w14:paraId="1894065E" w14:textId="04534C31"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Based on table </w:t>
      </w:r>
      <w:r w:rsidR="00BC747F" w:rsidRPr="009525BC">
        <w:rPr>
          <w:rFonts w:ascii="Times New Roman" w:eastAsia="Times New Roman" w:hAnsi="Times New Roman" w:cs="Times New Roman"/>
          <w:sz w:val="24"/>
          <w:szCs w:val="24"/>
        </w:rPr>
        <w:t>9</w:t>
      </w:r>
      <w:r w:rsidRPr="009525BC">
        <w:rPr>
          <w:rFonts w:ascii="Times New Roman" w:eastAsia="Times New Roman" w:hAnsi="Times New Roman" w:cs="Times New Roman"/>
          <w:sz w:val="24"/>
          <w:szCs w:val="24"/>
        </w:rPr>
        <w:t xml:space="preserve"> shows that the results of the motivation t test (X1) t count value (0.294) &lt; table (1.984) with a significance of 0.771&gt; 0.05 means Ho is rejected, so motivation has a positive and significant effect on work productivity. Work experience (X2) t count value (5.721)&gt; t table (1.984) with a significance of 0.000 &lt;0.05 means Ho is rejected, so work experience has a positive and significant effect on work productivity.</w:t>
      </w:r>
    </w:p>
    <w:p w14:paraId="04DA3114" w14:textId="77777777" w:rsidR="00BC747F" w:rsidRPr="009525BC" w:rsidRDefault="00BC747F">
      <w:pPr>
        <w:spacing w:after="0" w:line="276" w:lineRule="auto"/>
        <w:ind w:firstLine="709"/>
        <w:jc w:val="both"/>
        <w:rPr>
          <w:rFonts w:ascii="Times New Roman" w:eastAsia="Times New Roman" w:hAnsi="Times New Roman" w:cs="Times New Roman"/>
          <w:sz w:val="24"/>
          <w:szCs w:val="24"/>
        </w:rPr>
      </w:pPr>
    </w:p>
    <w:p w14:paraId="01C51167"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Coefficient of Determination Test (R2)</w:t>
      </w:r>
    </w:p>
    <w:p w14:paraId="00395A50" w14:textId="77777777" w:rsidR="00493FF0" w:rsidRPr="009525BC" w:rsidRDefault="00493FF0" w:rsidP="00493FF0">
      <w:pPr>
        <w:spacing w:after="0" w:line="276" w:lineRule="auto"/>
        <w:jc w:val="center"/>
        <w:rPr>
          <w:rFonts w:ascii="Times New Roman" w:eastAsia="Times New Roman" w:hAnsi="Times New Roman" w:cs="Times New Roman"/>
          <w:b/>
          <w:sz w:val="24"/>
          <w:szCs w:val="24"/>
        </w:rPr>
      </w:pPr>
    </w:p>
    <w:p w14:paraId="334A63E4" w14:textId="23BDC6F0" w:rsidR="001E6F74" w:rsidRPr="009525BC" w:rsidRDefault="00000000" w:rsidP="00493FF0">
      <w:pPr>
        <w:spacing w:after="0" w:line="276" w:lineRule="auto"/>
        <w:jc w:val="center"/>
        <w:rPr>
          <w:rFonts w:ascii="Times New Roman" w:eastAsia="Times New Roman" w:hAnsi="Times New Roman" w:cs="Times New Roman"/>
          <w:b/>
          <w:sz w:val="24"/>
          <w:szCs w:val="24"/>
        </w:rPr>
      </w:pPr>
      <w:r w:rsidRPr="009525BC">
        <w:rPr>
          <w:rFonts w:ascii="Times New Roman" w:eastAsia="Times New Roman" w:hAnsi="Times New Roman" w:cs="Times New Roman"/>
          <w:b/>
          <w:sz w:val="24"/>
          <w:szCs w:val="24"/>
        </w:rPr>
        <w:t>Table 1</w:t>
      </w:r>
      <w:r w:rsidR="00BC747F" w:rsidRPr="009525BC">
        <w:rPr>
          <w:rFonts w:ascii="Times New Roman" w:eastAsia="Times New Roman" w:hAnsi="Times New Roman" w:cs="Times New Roman"/>
          <w:b/>
          <w:sz w:val="24"/>
          <w:szCs w:val="24"/>
        </w:rPr>
        <w:t>0</w:t>
      </w:r>
      <w:r w:rsidRPr="009525BC">
        <w:rPr>
          <w:rFonts w:ascii="Times New Roman" w:eastAsia="Times New Roman" w:hAnsi="Times New Roman" w:cs="Times New Roman"/>
          <w:b/>
          <w:sz w:val="24"/>
          <w:szCs w:val="24"/>
        </w:rPr>
        <w:t>. Coefficient of Determination</w:t>
      </w:r>
    </w:p>
    <w:p w14:paraId="1A611555"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b/>
          <w:bCs/>
          <w:sz w:val="24"/>
          <w:szCs w:val="24"/>
        </w:rPr>
        <w:t>Model Summary</w:t>
      </w:r>
    </w:p>
    <w:tbl>
      <w:tblPr>
        <w:tblW w:w="5000" w:type="pct"/>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837"/>
        <w:gridCol w:w="660"/>
        <w:gridCol w:w="1136"/>
        <w:gridCol w:w="2255"/>
        <w:gridCol w:w="3049"/>
      </w:tblGrid>
      <w:tr w:rsidR="00BC747F" w:rsidRPr="009525BC" w14:paraId="476EEDB9" w14:textId="77777777" w:rsidTr="00BC747F">
        <w:trPr>
          <w:tblHeader/>
          <w:tblCellSpacing w:w="15" w:type="dxa"/>
        </w:trPr>
        <w:tc>
          <w:tcPr>
            <w:tcW w:w="497" w:type="pct"/>
            <w:vAlign w:val="center"/>
            <w:hideMark/>
          </w:tcPr>
          <w:p w14:paraId="197C2A9C"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lastRenderedPageBreak/>
              <w:t>Model</w:t>
            </w:r>
          </w:p>
        </w:tc>
        <w:tc>
          <w:tcPr>
            <w:tcW w:w="395" w:type="pct"/>
            <w:vAlign w:val="center"/>
            <w:hideMark/>
          </w:tcPr>
          <w:p w14:paraId="4B7B562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R</w:t>
            </w:r>
          </w:p>
        </w:tc>
        <w:tc>
          <w:tcPr>
            <w:tcW w:w="694" w:type="pct"/>
            <w:vAlign w:val="center"/>
            <w:hideMark/>
          </w:tcPr>
          <w:p w14:paraId="55A4C17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R Square</w:t>
            </w:r>
          </w:p>
        </w:tc>
        <w:tc>
          <w:tcPr>
            <w:tcW w:w="1395" w:type="pct"/>
            <w:vAlign w:val="center"/>
            <w:hideMark/>
          </w:tcPr>
          <w:p w14:paraId="2C9F3EB6"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Adjusted R Square</w:t>
            </w:r>
          </w:p>
        </w:tc>
        <w:tc>
          <w:tcPr>
            <w:tcW w:w="1884" w:type="pct"/>
            <w:vAlign w:val="center"/>
            <w:hideMark/>
          </w:tcPr>
          <w:p w14:paraId="74359A5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Std. Error of the Estimate</w:t>
            </w:r>
          </w:p>
        </w:tc>
      </w:tr>
      <w:tr w:rsidR="00BC747F" w:rsidRPr="009525BC" w14:paraId="7DF5F553" w14:textId="77777777" w:rsidTr="00BC747F">
        <w:trPr>
          <w:tblCellSpacing w:w="15" w:type="dxa"/>
        </w:trPr>
        <w:tc>
          <w:tcPr>
            <w:tcW w:w="497" w:type="pct"/>
            <w:vAlign w:val="center"/>
            <w:hideMark/>
          </w:tcPr>
          <w:p w14:paraId="05A29E43"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1</w:t>
            </w:r>
          </w:p>
        </w:tc>
        <w:tc>
          <w:tcPr>
            <w:tcW w:w="395" w:type="pct"/>
            <w:vAlign w:val="center"/>
            <w:hideMark/>
          </w:tcPr>
          <w:p w14:paraId="4A9E31D4"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.724</w:t>
            </w:r>
            <w:r w:rsidRPr="009525BC">
              <w:rPr>
                <w:rFonts w:ascii="Times New Roman" w:eastAsia="Times New Roman" w:hAnsi="Times New Roman" w:cs="Times New Roman"/>
                <w:sz w:val="24"/>
                <w:szCs w:val="24"/>
                <w:vertAlign w:val="superscript"/>
              </w:rPr>
              <w:t>a</w:t>
            </w:r>
          </w:p>
        </w:tc>
        <w:tc>
          <w:tcPr>
            <w:tcW w:w="694" w:type="pct"/>
            <w:vAlign w:val="center"/>
            <w:hideMark/>
          </w:tcPr>
          <w:p w14:paraId="31EA626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.524</w:t>
            </w:r>
          </w:p>
        </w:tc>
        <w:tc>
          <w:tcPr>
            <w:tcW w:w="1395" w:type="pct"/>
            <w:vAlign w:val="center"/>
            <w:hideMark/>
          </w:tcPr>
          <w:p w14:paraId="07CE5287"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.514</w:t>
            </w:r>
          </w:p>
        </w:tc>
        <w:tc>
          <w:tcPr>
            <w:tcW w:w="1884" w:type="pct"/>
            <w:vAlign w:val="center"/>
            <w:hideMark/>
          </w:tcPr>
          <w:p w14:paraId="1140CC9A" w14:textId="77777777" w:rsidR="00BC747F" w:rsidRPr="009525BC" w:rsidRDefault="00BC747F" w:rsidP="00BC747F">
            <w:pPr>
              <w:spacing w:before="100" w:beforeAutospacing="1" w:after="100" w:afterAutospacing="1"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3.092</w:t>
            </w:r>
          </w:p>
        </w:tc>
      </w:tr>
    </w:tbl>
    <w:p w14:paraId="021BB49E" w14:textId="77777777" w:rsidR="00BC747F" w:rsidRPr="009525BC" w:rsidRDefault="00BC747F" w:rsidP="00BC747F">
      <w:pPr>
        <w:spacing w:after="0" w:line="240" w:lineRule="auto"/>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a. Predictors: (Constant), Work Experience, Motivation</w:t>
      </w:r>
    </w:p>
    <w:p w14:paraId="015780F0" w14:textId="77777777" w:rsidR="001E6F74" w:rsidRPr="009525BC" w:rsidRDefault="00000000">
      <w:pPr>
        <w:spacing w:after="0" w:line="276" w:lineRule="auto"/>
        <w:ind w:firstLine="709"/>
        <w:jc w:val="center"/>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Source: Primary Data processed in 2024</w:t>
      </w:r>
    </w:p>
    <w:p w14:paraId="14FA16A9" w14:textId="77777777" w:rsidR="001E6F74" w:rsidRPr="009525BC" w:rsidRDefault="001E6F74">
      <w:pPr>
        <w:spacing w:after="0" w:line="276" w:lineRule="auto"/>
        <w:ind w:firstLine="709"/>
        <w:jc w:val="both"/>
        <w:rPr>
          <w:rFonts w:ascii="Times New Roman" w:eastAsia="Times New Roman" w:hAnsi="Times New Roman" w:cs="Times New Roman"/>
          <w:sz w:val="24"/>
          <w:szCs w:val="24"/>
        </w:rPr>
      </w:pPr>
    </w:p>
    <w:p w14:paraId="59440FF6" w14:textId="30CD3FB0"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Based on the results of table 1</w:t>
      </w:r>
      <w:r w:rsidR="00BC747F" w:rsidRPr="009525BC">
        <w:rPr>
          <w:rFonts w:ascii="Times New Roman" w:eastAsia="Times New Roman" w:hAnsi="Times New Roman" w:cs="Times New Roman"/>
          <w:sz w:val="24"/>
          <w:szCs w:val="24"/>
        </w:rPr>
        <w:t>0</w:t>
      </w:r>
      <w:r w:rsidRPr="009525BC">
        <w:rPr>
          <w:rFonts w:ascii="Times New Roman" w:eastAsia="Times New Roman" w:hAnsi="Times New Roman" w:cs="Times New Roman"/>
          <w:sz w:val="24"/>
          <w:szCs w:val="24"/>
        </w:rPr>
        <w:t>, it shows that the coefficient of determination (Adjusted R Square) is 0.514 or 51.4%. It can be concluded that 51.4% of the work productivity variable can be explained by the motivation variable, work experience, while the remaining 48.6% is determined by the epsilon variable.</w:t>
      </w:r>
    </w:p>
    <w:p w14:paraId="1A7520FA" w14:textId="77777777" w:rsidR="00BC747F" w:rsidRPr="009525BC" w:rsidRDefault="00BC747F">
      <w:pPr>
        <w:spacing w:after="0" w:line="276" w:lineRule="auto"/>
        <w:ind w:firstLine="709"/>
        <w:jc w:val="both"/>
        <w:rPr>
          <w:rFonts w:ascii="Times New Roman" w:eastAsia="Times New Roman" w:hAnsi="Times New Roman" w:cs="Times New Roman"/>
          <w:sz w:val="24"/>
          <w:szCs w:val="24"/>
        </w:rPr>
      </w:pPr>
    </w:p>
    <w:p w14:paraId="2325290C" w14:textId="77777777" w:rsidR="001E6F74" w:rsidRPr="009525BC" w:rsidRDefault="00000000">
      <w:pPr>
        <w:spacing w:after="0" w:line="276" w:lineRule="auto"/>
        <w:jc w:val="both"/>
        <w:rPr>
          <w:rFonts w:ascii="Times New Roman" w:eastAsia="Times New Roman" w:hAnsi="Times New Roman" w:cs="Times New Roman"/>
          <w:sz w:val="24"/>
          <w:szCs w:val="24"/>
        </w:rPr>
      </w:pPr>
      <w:r w:rsidRPr="009525BC">
        <w:rPr>
          <w:rFonts w:ascii="Times New Roman" w:eastAsia="Times New Roman" w:hAnsi="Times New Roman" w:cs="Times New Roman"/>
          <w:b/>
          <w:sz w:val="24"/>
          <w:szCs w:val="24"/>
        </w:rPr>
        <w:t>Discussion</w:t>
      </w:r>
    </w:p>
    <w:p w14:paraId="63A476E4"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Based on the statistical data processing above, it shows that in general the distribution of the data obtained has met the classical assumption test, meaning that the measurement data obtained meets the requirements to measure the influence of Work Motivation, Work Experience with employee work productivity. Through the regression analysis process, it shows that work productivity is 13,747 coefficients of motivation variables from the linear regression calculation of the coefficients value of 0.039.</w:t>
      </w:r>
    </w:p>
    <w:p w14:paraId="3771F83F"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This means that if motivation increases by one unit while other variables remain constant, employee work productivity will increase by 0.039. The condition shows that strong employee work motivation will contribute to the level of employee productivity. Work motivation that is statistically quantitative shows a significant contribution to the work productivity of Anak Garuda Shop employees. Qualitative data shows that the strength of employee motivation is largely determined by internal and external factors.</w:t>
      </w:r>
    </w:p>
    <w:p w14:paraId="2A4D668C"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Internal factors of several variables contribute to strong motivation, organizational climate where the existence of management that is able to approach employees, proximity and managerial adaptability in the company make a big contribution. Organizational communication runs well, communication between leaders and subordinates and between subordinates runs effectively. The existence of management in growing employee motivation is very necessary. When leaders are able to build closeness with employees, they will be able to increase employee motivation which in turn affects employee Work Productivity.</w:t>
      </w:r>
    </w:p>
    <w:p w14:paraId="7663E4A5"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External factors are factors from outside the company that provide encouragement for the growth of work motivation. The external factor is the distance between the residence and the workplace, the further the distance between the residence and the workplace indicates a decrease in the strength of work motivation. This is because too much energy is expended while working. Another factor is the recognition of the company's brand by the community outside the </w:t>
      </w:r>
      <w:r w:rsidRPr="009525BC">
        <w:rPr>
          <w:rFonts w:ascii="Times New Roman" w:eastAsia="Times New Roman" w:hAnsi="Times New Roman" w:cs="Times New Roman"/>
          <w:sz w:val="24"/>
          <w:szCs w:val="24"/>
        </w:rPr>
        <w:lastRenderedPageBreak/>
        <w:t>company. With the appreciation of the company where they work is high, it turns out to provide a sense of pride to employees who work in the company. Employee pride in the company where they work turns out to contribute to the strength of work motivation.</w:t>
      </w:r>
    </w:p>
    <w:p w14:paraId="71477B56"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Meanwhile, when viewed from the variable Work Experience shows the coefficient of the work experience variable from the linear regression calculation, the coefficient value is 0.485, meaning that the work experience variable has an effect on productivity. This shows that employee work experience in their field has significant implications for employee productivity.</w:t>
      </w:r>
    </w:p>
    <w:p w14:paraId="5E537393"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work experience of Anak Garuda Shop employees is obtained based on the length of service they have had so far, the longer they work the higher their work experience which has high work productivity. In addition, work experience in similar fields even though their work period in the company is short, they also contribute to employee work productivity.</w:t>
      </w:r>
    </w:p>
    <w:p w14:paraId="4285A671"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variables of work motivation and work experience together have shown simultaneous and partial contributions to the variable of work productivity. The contribution of the variables of motivation and work experience to work productivity is 51.4% while epsilon is 48.6%. This shows that the two independent variables provide a fairly dominant contribution, compared to other variables that were not tested in this study.</w:t>
      </w:r>
    </w:p>
    <w:p w14:paraId="1C4F274D"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Meanwhile, in proving the hypothesis as an assumption in this study after being verified empirically, it shows that the first hypothesis (H1) based on table 10 shows that the results of the motivation t-test (X1) t-value (0.294) &lt;ttable (1.984) with a significance of 0.771&gt; 0.05 means that Ho is rejected, meaning H1 is accepted. This means that work motivation has a positive and significant effect on work productivity. This shows that companies can increase work productivity by strengthening employee motivation. While work motivation can be fostered through internal factors such as in Maslow's Need Hierarchy Theory which states that human needs contain tiered elements or have a hierarchy from low to high priority needs. Work motivation can come from the work environment, the environment where the person lives and work motivation can arise from the employee himself. Likewise, external factors such as the Motivator-Hygiene Theory proposed by Herzberg provide an illustration that satisfaction with a person's work results is influenced by a factor called a satisfier factor that comes from outside the worker.</w:t>
      </w:r>
    </w:p>
    <w:p w14:paraId="23A37E2E"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Second hypothesis (H2) From table 10 it can be seen that the results of the hypothesis test of the work experience variable (X2) show t count (5.721) &gt; t table (1.984) with a significance of 0.000 &lt; 0.05 meaning that Ho is rejected, and Ha is accepted which means that work experience has a positive and significant effect on work productivity. This means that companies can increase work productivity by </w:t>
      </w:r>
      <w:r w:rsidRPr="009525BC">
        <w:rPr>
          <w:rFonts w:ascii="Times New Roman" w:eastAsia="Times New Roman" w:hAnsi="Times New Roman" w:cs="Times New Roman"/>
          <w:sz w:val="24"/>
          <w:szCs w:val="24"/>
        </w:rPr>
        <w:lastRenderedPageBreak/>
        <w:t>increasing work experience. This is in line with the research of Medoff, JL, &amp; Abraham, KG (1980). "Experience, Performance, and Earnings". The Quarterly Journal of Economics, 95 (4), 703-736. Explains that work experience is able to Develop Skills and Knowledge, Employees with more work experience tend to have more honed skills and deeper knowledge of their tasks in increasing productivity.</w:t>
      </w:r>
    </w:p>
    <w:p w14:paraId="522C6FF2"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The third hypothesis (H3) From table 10 it can be seen that the F test value shows the Fcount value &gt; Ftable (27.102) &gt; (2.70) with a significance of 0.000 &lt; 0.05, thus Ho is rejected and Ha is accepted. So it can be concluded that the variables of motivation, work experience simultaneously have a positive effect on work productivity at Anak Garuda Shop Batu. With the strengthening of employee motivation variables both internally and externally and together increasing employee work experience through the training process and rolling process will simultaneously strengthen the achievement of optimal work productivity.</w:t>
      </w:r>
    </w:p>
    <w:p w14:paraId="0DCF6A76" w14:textId="77777777" w:rsidR="001E6F74" w:rsidRPr="009525BC" w:rsidRDefault="00000000">
      <w:pPr>
        <w:spacing w:after="0" w:line="276" w:lineRule="auto"/>
        <w:ind w:firstLine="709"/>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Determination Test (R2) From the regression calculation, it can be seen that the determination coefficient (R2) obtained is 51.4% of changes in employee work productivity at Anak Garuda Shop in Batu. The variables that are not studied as epsilon variables include employee work productivity of 48.6%. These variables may be contributed by the variables of gender or length of service and distance of employee work domicile. Through the determination test, the real contribution that Work Motivation and Work Experience by the company must be considered carefully because the contribution given to employee productivity is very dominant, reaching 51.4% of company productivity.</w:t>
      </w:r>
    </w:p>
    <w:p w14:paraId="6933F8A5" w14:textId="77777777" w:rsidR="001E6F74" w:rsidRPr="009525BC" w:rsidRDefault="001E6F74">
      <w:pPr>
        <w:spacing w:after="0" w:line="276" w:lineRule="auto"/>
        <w:ind w:firstLine="709"/>
        <w:jc w:val="both"/>
        <w:rPr>
          <w:rFonts w:ascii="Times New Roman" w:eastAsia="Times New Roman" w:hAnsi="Times New Roman" w:cs="Times New Roman"/>
        </w:rPr>
      </w:pPr>
    </w:p>
    <w:p w14:paraId="09D6D299" w14:textId="77777777" w:rsidR="001E6F74" w:rsidRPr="009525BC" w:rsidRDefault="00000000">
      <w:pPr>
        <w:spacing w:after="0" w:line="276" w:lineRule="auto"/>
        <w:jc w:val="center"/>
        <w:rPr>
          <w:rFonts w:ascii="Times New Roman" w:eastAsia="Times New Roman" w:hAnsi="Times New Roman" w:cs="Times New Roman"/>
          <w:b/>
          <w:color w:val="002060"/>
          <w:sz w:val="24"/>
          <w:szCs w:val="24"/>
        </w:rPr>
      </w:pPr>
      <w:r w:rsidRPr="009525BC">
        <w:rPr>
          <w:rFonts w:ascii="Times New Roman" w:eastAsia="Times New Roman" w:hAnsi="Times New Roman" w:cs="Times New Roman"/>
          <w:b/>
          <w:color w:val="002060"/>
          <w:sz w:val="24"/>
          <w:szCs w:val="24"/>
        </w:rPr>
        <w:t>CONCLUSION</w:t>
      </w:r>
    </w:p>
    <w:p w14:paraId="5D545407" w14:textId="58D90BAD"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sz w:val="24"/>
          <w:szCs w:val="24"/>
        </w:rPr>
        <w:t xml:space="preserve">Employee work motivation has been proven to have a positive and significant effect on work productivity at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This strong work motivation arises because management is able to foster the work spirit of its employees.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employees exhibit a high sense of </w:t>
      </w:r>
      <w:r w:rsidRPr="009525BC">
        <w:rPr>
          <w:rFonts w:ascii="Times New Roman" w:eastAsia="Times New Roman" w:hAnsi="Times New Roman" w:cs="Times New Roman"/>
          <w:i/>
          <w:iCs/>
          <w:sz w:val="24"/>
          <w:szCs w:val="24"/>
        </w:rPr>
        <w:t>belongingness</w:t>
      </w:r>
      <w:r w:rsidRPr="009525BC">
        <w:rPr>
          <w:rFonts w:ascii="Times New Roman" w:eastAsia="Times New Roman" w:hAnsi="Times New Roman" w:cs="Times New Roman"/>
          <w:sz w:val="24"/>
          <w:szCs w:val="24"/>
        </w:rPr>
        <w:t xml:space="preserve">. Internal motivation, such as effective communication between leaders and employees, along with a sense of security in terms of physical and mental well-being, empirically contributes to strong work motivation. Meanwhile, external factors such as brand strength and public recognition of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's presence in still a sense of pride in employees, which further encourages high levels of motivation at work.</w:t>
      </w:r>
    </w:p>
    <w:p w14:paraId="07286C8F" w14:textId="77777777" w:rsidR="009525BC" w:rsidRPr="009525BC" w:rsidRDefault="009525BC" w:rsidP="009525BC">
      <w:pPr>
        <w:spacing w:after="0" w:line="276" w:lineRule="auto"/>
        <w:ind w:firstLine="720"/>
        <w:jc w:val="both"/>
        <w:rPr>
          <w:rFonts w:ascii="Times New Roman" w:eastAsia="Times New Roman" w:hAnsi="Times New Roman" w:cs="Times New Roman"/>
          <w:sz w:val="24"/>
          <w:szCs w:val="24"/>
        </w:rPr>
      </w:pPr>
      <w:r w:rsidRPr="009525BC">
        <w:rPr>
          <w:rFonts w:ascii="Times New Roman" w:eastAsia="Times New Roman" w:hAnsi="Times New Roman" w:cs="Times New Roman"/>
          <w:i/>
          <w:iCs/>
          <w:sz w:val="24"/>
          <w:szCs w:val="24"/>
        </w:rPr>
        <w:t>Work Experience</w:t>
      </w:r>
      <w:r w:rsidRPr="009525BC">
        <w:rPr>
          <w:rFonts w:ascii="Times New Roman" w:eastAsia="Times New Roman" w:hAnsi="Times New Roman" w:cs="Times New Roman"/>
          <w:sz w:val="24"/>
          <w:szCs w:val="24"/>
        </w:rPr>
        <w:t xml:space="preserve"> also has a positive and significant effect on work productivity at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Batu. Relevant work experience possessed by most employees—whether acquired internally within </w:t>
      </w:r>
      <w:r w:rsidRPr="009525BC">
        <w:rPr>
          <w:rFonts w:ascii="Times New Roman" w:eastAsia="Times New Roman" w:hAnsi="Times New Roman" w:cs="Times New Roman"/>
          <w:i/>
          <w:iCs/>
          <w:sz w:val="24"/>
          <w:szCs w:val="24"/>
        </w:rPr>
        <w:t>Anak Garuda Shop</w:t>
      </w:r>
      <w:r w:rsidRPr="009525BC">
        <w:rPr>
          <w:rFonts w:ascii="Times New Roman" w:eastAsia="Times New Roman" w:hAnsi="Times New Roman" w:cs="Times New Roman"/>
          <w:sz w:val="24"/>
          <w:szCs w:val="24"/>
        </w:rPr>
        <w:t xml:space="preserve"> or externally—contributes to increased productivity. This means that employees who have worked for an extended period within the company positively impact work </w:t>
      </w:r>
      <w:r w:rsidRPr="009525BC">
        <w:rPr>
          <w:rFonts w:ascii="Times New Roman" w:eastAsia="Times New Roman" w:hAnsi="Times New Roman" w:cs="Times New Roman"/>
          <w:sz w:val="24"/>
          <w:szCs w:val="24"/>
        </w:rPr>
        <w:lastRenderedPageBreak/>
        <w:t>productivity. Similarly, those with shorter tenures but prior relevant work experience from outside the company also significantly contribute to employee productivity levels.</w:t>
      </w:r>
    </w:p>
    <w:p w14:paraId="5FD51F8A" w14:textId="77777777" w:rsidR="001E6F74" w:rsidRPr="009525BC" w:rsidRDefault="001E6F74">
      <w:pPr>
        <w:spacing w:after="0" w:line="276" w:lineRule="auto"/>
        <w:jc w:val="center"/>
        <w:rPr>
          <w:rFonts w:ascii="Times New Roman" w:eastAsia="Times New Roman" w:hAnsi="Times New Roman" w:cs="Times New Roman"/>
          <w:b/>
          <w:sz w:val="24"/>
          <w:szCs w:val="24"/>
        </w:rPr>
      </w:pPr>
    </w:p>
    <w:p w14:paraId="0E27CE1F" w14:textId="77777777" w:rsidR="001E6F74" w:rsidRPr="00B31464" w:rsidRDefault="00000000">
      <w:pPr>
        <w:spacing w:after="0" w:line="276" w:lineRule="auto"/>
        <w:jc w:val="center"/>
        <w:rPr>
          <w:rFonts w:ascii="Times New Roman" w:eastAsia="Times New Roman" w:hAnsi="Times New Roman" w:cs="Times New Roman"/>
          <w:b/>
          <w:color w:val="002060"/>
          <w:sz w:val="24"/>
          <w:szCs w:val="24"/>
          <w:lang w:val="pt-BR"/>
        </w:rPr>
      </w:pPr>
      <w:r w:rsidRPr="00B31464">
        <w:rPr>
          <w:rFonts w:ascii="Times New Roman" w:eastAsia="Times New Roman" w:hAnsi="Times New Roman" w:cs="Times New Roman"/>
          <w:b/>
          <w:color w:val="002060"/>
          <w:sz w:val="24"/>
          <w:szCs w:val="24"/>
          <w:lang w:val="pt-BR"/>
        </w:rPr>
        <w:t>REFERENCES</w:t>
      </w:r>
    </w:p>
    <w:sdt>
      <w:sdtPr>
        <w:rPr>
          <w:rFonts w:ascii="Times New Roman" w:eastAsia="Times New Roman" w:hAnsi="Times New Roman" w:cs="Times New Roman"/>
          <w:sz w:val="24"/>
          <w:szCs w:val="24"/>
        </w:rPr>
        <w:tag w:val="MENDELEY_BIBLIOGRAPHY"/>
        <w:id w:val="-972287429"/>
        <w:placeholder>
          <w:docPart w:val="DefaultPlaceholder_-1854013440"/>
        </w:placeholder>
      </w:sdtPr>
      <w:sdtContent>
        <w:p w14:paraId="2487915C" w14:textId="77777777" w:rsidR="00646B60" w:rsidRPr="00646B60" w:rsidRDefault="00646B60" w:rsidP="00646B60">
          <w:pPr>
            <w:autoSpaceDE w:val="0"/>
            <w:autoSpaceDN w:val="0"/>
            <w:ind w:hanging="480"/>
            <w:jc w:val="both"/>
            <w:divId w:val="1448085839"/>
            <w:rPr>
              <w:lang w:val="en-ID"/>
            </w:rPr>
          </w:pPr>
          <w:r w:rsidRPr="00B31464">
            <w:rPr>
              <w:lang w:val="pt-BR"/>
            </w:rPr>
            <w:t xml:space="preserve">Intyas, C. A., Putritamara, J. A., &amp; Haryati, N. (2022). </w:t>
          </w:r>
          <w:proofErr w:type="spellStart"/>
          <w:r w:rsidRPr="00646B60">
            <w:rPr>
              <w:i/>
              <w:iCs/>
              <w:lang w:val="en-ID"/>
            </w:rPr>
            <w:t>Dinamika</w:t>
          </w:r>
          <w:proofErr w:type="spellEnd"/>
          <w:r w:rsidRPr="00646B60">
            <w:rPr>
              <w:i/>
              <w:iCs/>
              <w:lang w:val="en-ID"/>
            </w:rPr>
            <w:t xml:space="preserve"> </w:t>
          </w:r>
          <w:proofErr w:type="spellStart"/>
          <w:r w:rsidRPr="00646B60">
            <w:rPr>
              <w:i/>
              <w:iCs/>
              <w:lang w:val="en-ID"/>
            </w:rPr>
            <w:t>agrobisnis</w:t>
          </w:r>
          <w:proofErr w:type="spellEnd"/>
          <w:r w:rsidRPr="00646B60">
            <w:rPr>
              <w:i/>
              <w:iCs/>
              <w:lang w:val="en-ID"/>
            </w:rPr>
            <w:t xml:space="preserve"> era VUCA: Volatility, uncertainty, complexity, ambiguity</w:t>
          </w:r>
          <w:r w:rsidRPr="00646B60">
            <w:rPr>
              <w:lang w:val="en-ID"/>
            </w:rPr>
            <w:t xml:space="preserve">. Universitas </w:t>
          </w:r>
          <w:proofErr w:type="spellStart"/>
          <w:r w:rsidRPr="00646B60">
            <w:rPr>
              <w:lang w:val="en-ID"/>
            </w:rPr>
            <w:t>Brawijaya</w:t>
          </w:r>
          <w:proofErr w:type="spellEnd"/>
          <w:r w:rsidRPr="00646B60">
            <w:rPr>
              <w:lang w:val="en-ID"/>
            </w:rPr>
            <w:t xml:space="preserve"> Press.</w:t>
          </w:r>
        </w:p>
        <w:p w14:paraId="7FE043D2"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Lestari, S. (2022). Digital marketing strategy for MSMEs in the VUCA era (Volatility, Uncertainty, Complexity, and Ambiguity). </w:t>
          </w:r>
          <w:r w:rsidRPr="00646B60">
            <w:rPr>
              <w:rFonts w:eastAsia="Times New Roman"/>
              <w:i/>
              <w:iCs/>
              <w:lang w:val="en-ID"/>
            </w:rPr>
            <w:t>Journal of Humanities, Social Sciences and Business (JHSSB)</w:t>
          </w:r>
          <w:r w:rsidRPr="00646B60">
            <w:rPr>
              <w:rFonts w:eastAsia="Times New Roman"/>
              <w:lang w:val="en-ID"/>
            </w:rPr>
            <w:t xml:space="preserve">, </w:t>
          </w:r>
          <w:r w:rsidRPr="00646B60">
            <w:rPr>
              <w:rFonts w:eastAsia="Times New Roman"/>
              <w:i/>
              <w:iCs/>
              <w:lang w:val="en-ID"/>
            </w:rPr>
            <w:t>2</w:t>
          </w:r>
          <w:r w:rsidRPr="00646B60">
            <w:rPr>
              <w:rFonts w:eastAsia="Times New Roman"/>
              <w:lang w:val="en-ID"/>
            </w:rPr>
            <w:t xml:space="preserve">(1). </w:t>
          </w:r>
          <w:hyperlink r:id="rId25" w:tgtFrame="_new" w:history="1">
            <w:r w:rsidRPr="00646B60">
              <w:rPr>
                <w:rStyle w:val="Hyperlink"/>
                <w:rFonts w:eastAsia="Times New Roman"/>
                <w:color w:val="auto"/>
                <w:u w:val="none"/>
                <w:lang w:val="en-ID"/>
              </w:rPr>
              <w:t>https://doi.org/10.55047/jhssb.v2i1.370</w:t>
            </w:r>
          </w:hyperlink>
        </w:p>
        <w:p w14:paraId="5996C17B"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Mukhlisah, F. (2023). Examine the competencies for upskilling in VUCA era (Volatility, Uncertainty, Complexity and Ambiguity) in Indonesia. </w:t>
          </w:r>
          <w:r w:rsidRPr="00646B60">
            <w:rPr>
              <w:rFonts w:eastAsia="Times New Roman"/>
              <w:i/>
              <w:iCs/>
              <w:lang w:val="en-ID"/>
            </w:rPr>
            <w:t>KnE Social Sciences</w:t>
          </w:r>
          <w:r w:rsidRPr="00646B60">
            <w:rPr>
              <w:rFonts w:eastAsia="Times New Roman"/>
              <w:lang w:val="en-ID"/>
            </w:rPr>
            <w:t xml:space="preserve">. </w:t>
          </w:r>
          <w:hyperlink r:id="rId26" w:tgtFrame="_new" w:history="1">
            <w:r w:rsidRPr="00646B60">
              <w:rPr>
                <w:rStyle w:val="Hyperlink"/>
                <w:rFonts w:eastAsia="Times New Roman"/>
                <w:color w:val="auto"/>
                <w:u w:val="none"/>
                <w:lang w:val="en-ID"/>
              </w:rPr>
              <w:t>https://doi.org/10.18502/kss.v8i11.13550</w:t>
            </w:r>
          </w:hyperlink>
        </w:p>
        <w:p w14:paraId="07895EA2"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Puji, A., Ck, W., </w:t>
          </w:r>
          <w:proofErr w:type="spellStart"/>
          <w:r w:rsidRPr="00646B60">
            <w:rPr>
              <w:rFonts w:eastAsia="Times New Roman"/>
              <w:lang w:val="en-ID"/>
            </w:rPr>
            <w:t>Arkeman</w:t>
          </w:r>
          <w:proofErr w:type="spellEnd"/>
          <w:r w:rsidRPr="00646B60">
            <w:rPr>
              <w:rFonts w:eastAsia="Times New Roman"/>
              <w:lang w:val="en-ID"/>
            </w:rPr>
            <w:t xml:space="preserve">, Y., Ratnawati, A., &amp; Fahmi, I. (2022). Change management model in the era of volatility, uncertainty, complexity and ambiguity (VUCA) using scenario planning analysis. </w:t>
          </w:r>
          <w:r w:rsidRPr="00646B60">
            <w:rPr>
              <w:rFonts w:eastAsia="Times New Roman"/>
              <w:i/>
              <w:iCs/>
              <w:lang w:val="en-ID"/>
            </w:rPr>
            <w:t>The International Journal of Social Sciences World</w:t>
          </w:r>
          <w:r w:rsidRPr="00646B60">
            <w:rPr>
              <w:rFonts w:eastAsia="Times New Roman"/>
              <w:lang w:val="en-ID"/>
            </w:rPr>
            <w:t xml:space="preserve">, </w:t>
          </w:r>
          <w:r w:rsidRPr="00646B60">
            <w:rPr>
              <w:rFonts w:eastAsia="Times New Roman"/>
              <w:i/>
              <w:iCs/>
              <w:lang w:val="en-ID"/>
            </w:rPr>
            <w:t>4</w:t>
          </w:r>
          <w:r w:rsidRPr="00646B60">
            <w:rPr>
              <w:rFonts w:eastAsia="Times New Roman"/>
              <w:lang w:val="en-ID"/>
            </w:rPr>
            <w:t>(2).</w:t>
          </w:r>
        </w:p>
        <w:p w14:paraId="3C002340"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Soraya, N. A., </w:t>
          </w:r>
          <w:proofErr w:type="spellStart"/>
          <w:r w:rsidRPr="00646B60">
            <w:rPr>
              <w:rFonts w:eastAsia="Times New Roman"/>
              <w:lang w:val="en-ID"/>
            </w:rPr>
            <w:t>Tias</w:t>
          </w:r>
          <w:proofErr w:type="spellEnd"/>
          <w:r w:rsidRPr="00646B60">
            <w:rPr>
              <w:rFonts w:eastAsia="Times New Roman"/>
              <w:lang w:val="en-ID"/>
            </w:rPr>
            <w:t xml:space="preserve">, S. A., &amp; Ayu, K. (2022). </w:t>
          </w:r>
          <w:proofErr w:type="spellStart"/>
          <w:r w:rsidRPr="00646B60">
            <w:rPr>
              <w:rFonts w:eastAsia="Times New Roman"/>
              <w:lang w:val="en-ID"/>
            </w:rPr>
            <w:t>Nasionalisme</w:t>
          </w:r>
          <w:proofErr w:type="spellEnd"/>
          <w:r w:rsidRPr="00646B60">
            <w:rPr>
              <w:rFonts w:eastAsia="Times New Roman"/>
              <w:lang w:val="en-ID"/>
            </w:rPr>
            <w:t xml:space="preserve"> </w:t>
          </w:r>
          <w:proofErr w:type="spellStart"/>
          <w:r w:rsidRPr="00646B60">
            <w:rPr>
              <w:rFonts w:eastAsia="Times New Roman"/>
              <w:lang w:val="en-ID"/>
            </w:rPr>
            <w:t>bangsa</w:t>
          </w:r>
          <w:proofErr w:type="spellEnd"/>
          <w:r w:rsidRPr="00646B60">
            <w:rPr>
              <w:rFonts w:eastAsia="Times New Roman"/>
              <w:lang w:val="en-ID"/>
            </w:rPr>
            <w:t xml:space="preserve"> di era VUCA (Volatility, Uncertainty, Complexity dan Ambiguity). </w:t>
          </w:r>
          <w:proofErr w:type="spellStart"/>
          <w:r w:rsidRPr="00646B60">
            <w:rPr>
              <w:rFonts w:eastAsia="Times New Roman"/>
              <w:i/>
              <w:iCs/>
              <w:lang w:val="en-ID"/>
            </w:rPr>
            <w:t>Jurnal</w:t>
          </w:r>
          <w:proofErr w:type="spellEnd"/>
          <w:r w:rsidRPr="00646B60">
            <w:rPr>
              <w:rFonts w:eastAsia="Times New Roman"/>
              <w:i/>
              <w:iCs/>
              <w:lang w:val="en-ID"/>
            </w:rPr>
            <w:t xml:space="preserve"> </w:t>
          </w:r>
          <w:proofErr w:type="spellStart"/>
          <w:r w:rsidRPr="00646B60">
            <w:rPr>
              <w:rFonts w:eastAsia="Times New Roman"/>
              <w:i/>
              <w:iCs/>
              <w:lang w:val="en-ID"/>
            </w:rPr>
            <w:t>Kewarganegaraan</w:t>
          </w:r>
          <w:proofErr w:type="spellEnd"/>
          <w:r w:rsidRPr="00646B60">
            <w:rPr>
              <w:rFonts w:eastAsia="Times New Roman"/>
              <w:lang w:val="en-ID"/>
            </w:rPr>
            <w:t xml:space="preserve">, </w:t>
          </w:r>
          <w:r w:rsidRPr="00646B60">
            <w:rPr>
              <w:rFonts w:eastAsia="Times New Roman"/>
              <w:i/>
              <w:iCs/>
              <w:lang w:val="en-ID"/>
            </w:rPr>
            <w:t>6</w:t>
          </w:r>
          <w:r w:rsidRPr="00646B60">
            <w:rPr>
              <w:rFonts w:eastAsia="Times New Roman"/>
              <w:lang w:val="en-ID"/>
            </w:rPr>
            <w:t>(1).</w:t>
          </w:r>
        </w:p>
        <w:p w14:paraId="6C552324"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Arthur, W., Bennett, W., Edens, P. S., &amp; Bell, S. T. (2013). Effectiveness of training in organizations: A meta-analysis of design and evaluation features. </w:t>
          </w:r>
          <w:r w:rsidRPr="00646B60">
            <w:rPr>
              <w:rFonts w:eastAsia="Times New Roman"/>
              <w:i/>
              <w:iCs/>
              <w:lang w:val="en-ID"/>
            </w:rPr>
            <w:t>Journal of Applied Psychology</w:t>
          </w:r>
          <w:r w:rsidRPr="00646B60">
            <w:rPr>
              <w:rFonts w:eastAsia="Times New Roman"/>
              <w:lang w:val="en-ID"/>
            </w:rPr>
            <w:t xml:space="preserve">, </w:t>
          </w:r>
          <w:r w:rsidRPr="00646B60">
            <w:rPr>
              <w:rFonts w:eastAsia="Times New Roman"/>
              <w:i/>
              <w:iCs/>
              <w:lang w:val="en-ID"/>
            </w:rPr>
            <w:t>88</w:t>
          </w:r>
          <w:r w:rsidRPr="00646B60">
            <w:rPr>
              <w:rFonts w:eastAsia="Times New Roman"/>
              <w:lang w:val="en-ID"/>
            </w:rPr>
            <w:t>(2), 234–245. https://doi.org/10.1037/0021-9010.88.2.234</w:t>
          </w:r>
        </w:p>
        <w:p w14:paraId="19321491"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Haryo, B. D., &amp; W, H. D. (2018). The influence of job training, work motivation and work environment on employee work productivity of PT. </w:t>
          </w:r>
          <w:proofErr w:type="spellStart"/>
          <w:r w:rsidRPr="00646B60">
            <w:rPr>
              <w:rFonts w:eastAsia="Times New Roman"/>
              <w:lang w:val="en-ID"/>
            </w:rPr>
            <w:t>Metec</w:t>
          </w:r>
          <w:proofErr w:type="spellEnd"/>
          <w:r w:rsidRPr="00646B60">
            <w:rPr>
              <w:rFonts w:eastAsia="Times New Roman"/>
              <w:lang w:val="en-ID"/>
            </w:rPr>
            <w:t xml:space="preserve"> Semarang. </w:t>
          </w:r>
          <w:proofErr w:type="spellStart"/>
          <w:r w:rsidRPr="00646B60">
            <w:rPr>
              <w:rFonts w:eastAsia="Times New Roman"/>
              <w:i/>
              <w:iCs/>
              <w:lang w:val="en-ID"/>
            </w:rPr>
            <w:t>Diponegoro</w:t>
          </w:r>
          <w:proofErr w:type="spellEnd"/>
          <w:r w:rsidRPr="00646B60">
            <w:rPr>
              <w:rFonts w:eastAsia="Times New Roman"/>
              <w:i/>
              <w:iCs/>
              <w:lang w:val="en-ID"/>
            </w:rPr>
            <w:t xml:space="preserve"> Journal of Management</w:t>
          </w:r>
          <w:r w:rsidRPr="00646B60">
            <w:rPr>
              <w:rFonts w:eastAsia="Times New Roman"/>
              <w:lang w:val="en-ID"/>
            </w:rPr>
            <w:t>, 1–6.</w:t>
          </w:r>
        </w:p>
        <w:p w14:paraId="314BB526"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Herzberg, F., Mausner, B., &amp; Snyderman, B. B. (1959). </w:t>
          </w:r>
          <w:r w:rsidRPr="00646B60">
            <w:rPr>
              <w:rFonts w:eastAsia="Times New Roman"/>
              <w:i/>
              <w:iCs/>
              <w:lang w:val="en-ID"/>
            </w:rPr>
            <w:t>The motivation to work</w:t>
          </w:r>
          <w:r w:rsidRPr="00646B60">
            <w:rPr>
              <w:rFonts w:eastAsia="Times New Roman"/>
              <w:lang w:val="en-ID"/>
            </w:rPr>
            <w:t xml:space="preserve"> (2nd ed.). John Wiley &amp; Sons.</w:t>
          </w:r>
        </w:p>
        <w:p w14:paraId="40714EAB"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Maduka, C. E., &amp; Okafor, O. (2014). Effect of motivation on employee productivity: A study of manufacturing companies in Nnewi. </w:t>
          </w:r>
          <w:r w:rsidRPr="00646B60">
            <w:rPr>
              <w:rFonts w:eastAsia="Times New Roman"/>
              <w:i/>
              <w:iCs/>
              <w:lang w:val="en-ID"/>
            </w:rPr>
            <w:t>International Journal of Managerial Studies and Research</w:t>
          </w:r>
          <w:r w:rsidRPr="00646B60">
            <w:rPr>
              <w:rFonts w:eastAsia="Times New Roman"/>
              <w:lang w:val="en-ID"/>
            </w:rPr>
            <w:t xml:space="preserve">, </w:t>
          </w:r>
          <w:r w:rsidRPr="00646B60">
            <w:rPr>
              <w:rFonts w:eastAsia="Times New Roman"/>
              <w:i/>
              <w:iCs/>
              <w:lang w:val="en-ID"/>
            </w:rPr>
            <w:t>2</w:t>
          </w:r>
          <w:r w:rsidRPr="00646B60">
            <w:rPr>
              <w:rFonts w:eastAsia="Times New Roman"/>
              <w:lang w:val="en-ID"/>
            </w:rPr>
            <w:t xml:space="preserve">(7), 137–147. </w:t>
          </w:r>
          <w:hyperlink r:id="rId27" w:tgtFrame="_new" w:history="1">
            <w:r w:rsidRPr="00646B60">
              <w:rPr>
                <w:rStyle w:val="Hyperlink"/>
                <w:rFonts w:eastAsia="Times New Roman"/>
                <w:color w:val="auto"/>
                <w:u w:val="none"/>
                <w:lang w:val="en-ID"/>
              </w:rPr>
              <w:t>http://www.arcjournals.org</w:t>
            </w:r>
          </w:hyperlink>
        </w:p>
        <w:p w14:paraId="55E3C41F" w14:textId="77777777" w:rsidR="00646B60" w:rsidRPr="00646B60" w:rsidRDefault="00646B60" w:rsidP="00646B60">
          <w:pPr>
            <w:autoSpaceDE w:val="0"/>
            <w:autoSpaceDN w:val="0"/>
            <w:ind w:hanging="480"/>
            <w:jc w:val="both"/>
            <w:divId w:val="1448085839"/>
            <w:rPr>
              <w:rFonts w:eastAsia="Times New Roman"/>
              <w:lang w:val="en-ID"/>
            </w:rPr>
          </w:pPr>
          <w:r w:rsidRPr="00B31464">
            <w:rPr>
              <w:rFonts w:eastAsia="Times New Roman"/>
              <w:lang w:val="pt-BR"/>
            </w:rPr>
            <w:t xml:space="preserve">Medoff, J. L., &amp; Abraham, K. G. (1980). </w:t>
          </w:r>
          <w:r w:rsidRPr="00646B60">
            <w:rPr>
              <w:rFonts w:eastAsia="Times New Roman"/>
              <w:lang w:val="en-ID"/>
            </w:rPr>
            <w:t xml:space="preserve">Experience, performance, and earnings. </w:t>
          </w:r>
          <w:r w:rsidRPr="00646B60">
            <w:rPr>
              <w:rFonts w:eastAsia="Times New Roman"/>
              <w:i/>
              <w:iCs/>
              <w:lang w:val="en-ID"/>
            </w:rPr>
            <w:t>The Quarterly Journal of Economics</w:t>
          </w:r>
          <w:r w:rsidRPr="00646B60">
            <w:rPr>
              <w:rFonts w:eastAsia="Times New Roman"/>
              <w:lang w:val="en-ID"/>
            </w:rPr>
            <w:t xml:space="preserve">, </w:t>
          </w:r>
          <w:r w:rsidRPr="00646B60">
            <w:rPr>
              <w:rFonts w:eastAsia="Times New Roman"/>
              <w:i/>
              <w:iCs/>
              <w:lang w:val="en-ID"/>
            </w:rPr>
            <w:t>95</w:t>
          </w:r>
          <w:r w:rsidRPr="00646B60">
            <w:rPr>
              <w:rFonts w:eastAsia="Times New Roman"/>
              <w:lang w:val="en-ID"/>
            </w:rPr>
            <w:t>(4), 703–736.</w:t>
          </w:r>
        </w:p>
        <w:p w14:paraId="1DE7B67A" w14:textId="77777777" w:rsidR="00646B60" w:rsidRPr="00646B60" w:rsidRDefault="00646B60" w:rsidP="00646B60">
          <w:pPr>
            <w:autoSpaceDE w:val="0"/>
            <w:autoSpaceDN w:val="0"/>
            <w:ind w:hanging="480"/>
            <w:jc w:val="both"/>
            <w:divId w:val="1448085839"/>
            <w:rPr>
              <w:rFonts w:eastAsia="Times New Roman"/>
              <w:lang w:val="en-ID"/>
            </w:rPr>
          </w:pPr>
          <w:r w:rsidRPr="00B31464">
            <w:rPr>
              <w:rFonts w:eastAsia="Times New Roman"/>
              <w:lang w:val="pt-BR"/>
            </w:rPr>
            <w:t xml:space="preserve">Putu, N., Claudia, C., &amp; Suana, I. W. (2018). </w:t>
          </w:r>
          <w:r w:rsidRPr="00646B60">
            <w:rPr>
              <w:rFonts w:eastAsia="Times New Roman"/>
              <w:lang w:val="en-ID"/>
            </w:rPr>
            <w:t xml:space="preserve">The success of a company organization depends on the productivity of its employees so that productivity becomes a very important consideration in achieving organizational goals. </w:t>
          </w:r>
          <w:r w:rsidRPr="00646B60">
            <w:rPr>
              <w:rFonts w:eastAsia="Times New Roman"/>
              <w:i/>
              <w:iCs/>
              <w:lang w:val="en-ID"/>
            </w:rPr>
            <w:t>Denpasar Agung: Faculty of Economics and Business, Udayana University</w:t>
          </w:r>
          <w:r w:rsidRPr="00646B60">
            <w:rPr>
              <w:rFonts w:eastAsia="Times New Roman"/>
              <w:lang w:val="en-ID"/>
            </w:rPr>
            <w:t xml:space="preserve">, </w:t>
          </w:r>
          <w:r w:rsidRPr="00646B60">
            <w:rPr>
              <w:rFonts w:eastAsia="Times New Roman"/>
              <w:i/>
              <w:iCs/>
              <w:lang w:val="en-ID"/>
            </w:rPr>
            <w:t>7</w:t>
          </w:r>
          <w:r w:rsidRPr="00646B60">
            <w:rPr>
              <w:rFonts w:eastAsia="Times New Roman"/>
              <w:lang w:val="en-ID"/>
            </w:rPr>
            <w:t>(10), 5379–5406.</w:t>
          </w:r>
        </w:p>
        <w:p w14:paraId="5D50184C"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lastRenderedPageBreak/>
            <w:t xml:space="preserve">Ryan, R. M., &amp; Deci, E. L. (2000). Intrinsic and extrinsic motivations: Classic definitions and new directions. </w:t>
          </w:r>
          <w:r w:rsidRPr="00646B60">
            <w:rPr>
              <w:rFonts w:eastAsia="Times New Roman"/>
              <w:i/>
              <w:iCs/>
              <w:lang w:val="en-ID"/>
            </w:rPr>
            <w:t>Contemporary Educational Psychology</w:t>
          </w:r>
          <w:r w:rsidRPr="00646B60">
            <w:rPr>
              <w:rFonts w:eastAsia="Times New Roman"/>
              <w:lang w:val="en-ID"/>
            </w:rPr>
            <w:t xml:space="preserve">, </w:t>
          </w:r>
          <w:r w:rsidRPr="00646B60">
            <w:rPr>
              <w:rFonts w:eastAsia="Times New Roman"/>
              <w:i/>
              <w:iCs/>
              <w:lang w:val="en-ID"/>
            </w:rPr>
            <w:t>25</w:t>
          </w:r>
          <w:r w:rsidRPr="00646B60">
            <w:rPr>
              <w:rFonts w:eastAsia="Times New Roman"/>
              <w:lang w:val="en-ID"/>
            </w:rPr>
            <w:t>(1), 54–67. https://doi.org/10.1006/ceps.1999.1020</w:t>
          </w:r>
        </w:p>
        <w:p w14:paraId="64C0FB5E"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Saleh, A. R., &amp; Utomo, H. (2018). The influence of work discipline, work motivation on the work productivity of production employees at PT Inko Java Semarang. </w:t>
          </w:r>
          <w:r w:rsidRPr="00646B60">
            <w:rPr>
              <w:rFonts w:eastAsia="Times New Roman"/>
              <w:i/>
              <w:iCs/>
              <w:lang w:val="en-ID"/>
            </w:rPr>
            <w:t xml:space="preserve">Among </w:t>
          </w:r>
          <w:proofErr w:type="spellStart"/>
          <w:r w:rsidRPr="00646B60">
            <w:rPr>
              <w:rFonts w:eastAsia="Times New Roman"/>
              <w:i/>
              <w:iCs/>
              <w:lang w:val="en-ID"/>
            </w:rPr>
            <w:t>Makarti</w:t>
          </w:r>
          <w:proofErr w:type="spellEnd"/>
          <w:r w:rsidRPr="00646B60">
            <w:rPr>
              <w:rFonts w:eastAsia="Times New Roman"/>
              <w:lang w:val="en-ID"/>
            </w:rPr>
            <w:t xml:space="preserve">, </w:t>
          </w:r>
          <w:r w:rsidRPr="00646B60">
            <w:rPr>
              <w:rFonts w:eastAsia="Times New Roman"/>
              <w:i/>
              <w:iCs/>
              <w:lang w:val="en-ID"/>
            </w:rPr>
            <w:t>11</w:t>
          </w:r>
          <w:r w:rsidRPr="00646B60">
            <w:rPr>
              <w:rFonts w:eastAsia="Times New Roman"/>
              <w:lang w:val="en-ID"/>
            </w:rPr>
            <w:t>(21), 28–50.</w:t>
          </w:r>
        </w:p>
        <w:p w14:paraId="5A78243B"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Sundstrom, E., Town, J. P., Rice, R. W., Osborn, D. P., &amp; Brill, M. (2022). How to attract employees back to the office? A stated choice study on hybrid working preferences. </w:t>
          </w:r>
          <w:r w:rsidRPr="00646B60">
            <w:rPr>
              <w:rFonts w:eastAsia="Times New Roman"/>
              <w:i/>
              <w:iCs/>
              <w:lang w:val="en-ID"/>
            </w:rPr>
            <w:t>Journal of Environmental Psychology</w:t>
          </w:r>
          <w:r w:rsidRPr="00646B60">
            <w:rPr>
              <w:rFonts w:eastAsia="Times New Roman"/>
              <w:lang w:val="en-ID"/>
            </w:rPr>
            <w:t xml:space="preserve">, </w:t>
          </w:r>
          <w:r w:rsidRPr="00646B60">
            <w:rPr>
              <w:rFonts w:eastAsia="Times New Roman"/>
              <w:i/>
              <w:iCs/>
              <w:lang w:val="en-ID"/>
            </w:rPr>
            <w:t>81</w:t>
          </w:r>
          <w:r w:rsidRPr="00646B60">
            <w:rPr>
              <w:rFonts w:eastAsia="Times New Roman"/>
              <w:lang w:val="en-ID"/>
            </w:rPr>
            <w:t>(2), 195–222.</w:t>
          </w:r>
        </w:p>
        <w:p w14:paraId="4E12D887"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Walker in Belch, G. E., &amp; Belch, M. A. (2015). </w:t>
          </w:r>
          <w:r w:rsidRPr="00646B60">
            <w:rPr>
              <w:rFonts w:eastAsia="Times New Roman"/>
              <w:i/>
              <w:iCs/>
              <w:lang w:val="en-ID"/>
            </w:rPr>
            <w:t>Advertising and promotion: An integrated communication perspective</w:t>
          </w:r>
          <w:r w:rsidRPr="00646B60">
            <w:rPr>
              <w:rFonts w:eastAsia="Times New Roman"/>
              <w:lang w:val="en-ID"/>
            </w:rPr>
            <w:t xml:space="preserve"> (10th ed., Global ed.). McGraw-Hill Education.</w:t>
          </w:r>
        </w:p>
        <w:p w14:paraId="44099EDD" w14:textId="77777777" w:rsidR="00646B60" w:rsidRPr="00646B60" w:rsidRDefault="00646B60" w:rsidP="00646B60">
          <w:pPr>
            <w:autoSpaceDE w:val="0"/>
            <w:autoSpaceDN w:val="0"/>
            <w:ind w:hanging="480"/>
            <w:jc w:val="both"/>
            <w:divId w:val="1448085839"/>
            <w:rPr>
              <w:rFonts w:eastAsia="Times New Roman"/>
              <w:lang w:val="en-ID"/>
            </w:rPr>
          </w:pPr>
          <w:r w:rsidRPr="00646B60">
            <w:rPr>
              <w:rFonts w:eastAsia="Times New Roman"/>
              <w:lang w:val="en-ID"/>
            </w:rPr>
            <w:t xml:space="preserve">Wirawan, P. J., Haris, I. A., &amp; </w:t>
          </w:r>
          <w:proofErr w:type="spellStart"/>
          <w:r w:rsidRPr="00646B60">
            <w:rPr>
              <w:rFonts w:eastAsia="Times New Roman"/>
              <w:lang w:val="en-ID"/>
            </w:rPr>
            <w:t>Suwena</w:t>
          </w:r>
          <w:proofErr w:type="spellEnd"/>
          <w:r w:rsidRPr="00646B60">
            <w:rPr>
              <w:rFonts w:eastAsia="Times New Roman"/>
              <w:lang w:val="en-ID"/>
            </w:rPr>
            <w:t xml:space="preserve">, K. R. (2019). The influence of work discipline on the work productivity of production department employees at PT. Tirta </w:t>
          </w:r>
          <w:proofErr w:type="spellStart"/>
          <w:r w:rsidRPr="00646B60">
            <w:rPr>
              <w:rFonts w:eastAsia="Times New Roman"/>
              <w:lang w:val="en-ID"/>
            </w:rPr>
            <w:t>Mumbul</w:t>
          </w:r>
          <w:proofErr w:type="spellEnd"/>
          <w:r w:rsidRPr="00646B60">
            <w:rPr>
              <w:rFonts w:eastAsia="Times New Roman"/>
              <w:lang w:val="en-ID"/>
            </w:rPr>
            <w:t xml:space="preserve"> Jaya Abadi in 2016. </w:t>
          </w:r>
          <w:proofErr w:type="spellStart"/>
          <w:r w:rsidRPr="00646B60">
            <w:rPr>
              <w:rFonts w:eastAsia="Times New Roman"/>
              <w:i/>
              <w:iCs/>
              <w:lang w:val="en-ID"/>
            </w:rPr>
            <w:t>Undiksha</w:t>
          </w:r>
          <w:proofErr w:type="spellEnd"/>
          <w:r w:rsidRPr="00646B60">
            <w:rPr>
              <w:rFonts w:eastAsia="Times New Roman"/>
              <w:i/>
              <w:iCs/>
              <w:lang w:val="en-ID"/>
            </w:rPr>
            <w:t xml:space="preserve"> Journal of Economic Education</w:t>
          </w:r>
          <w:r w:rsidRPr="00646B60">
            <w:rPr>
              <w:rFonts w:eastAsia="Times New Roman"/>
              <w:lang w:val="en-ID"/>
            </w:rPr>
            <w:t xml:space="preserve">, </w:t>
          </w:r>
          <w:r w:rsidRPr="00646B60">
            <w:rPr>
              <w:rFonts w:eastAsia="Times New Roman"/>
              <w:i/>
              <w:iCs/>
              <w:lang w:val="en-ID"/>
            </w:rPr>
            <w:t>10</w:t>
          </w:r>
          <w:r w:rsidRPr="00646B60">
            <w:rPr>
              <w:rFonts w:eastAsia="Times New Roman"/>
              <w:lang w:val="en-ID"/>
            </w:rPr>
            <w:t xml:space="preserve">(1), 305. </w:t>
          </w:r>
          <w:hyperlink r:id="rId28" w:tgtFrame="_new" w:history="1">
            <w:r w:rsidRPr="00646B60">
              <w:rPr>
                <w:rStyle w:val="Hyperlink"/>
                <w:rFonts w:eastAsia="Times New Roman"/>
                <w:color w:val="auto"/>
                <w:u w:val="none"/>
                <w:lang w:val="en-ID"/>
              </w:rPr>
              <w:t>https://doi.org/10.23887/jjpe.v10i1.20149</w:t>
            </w:r>
          </w:hyperlink>
        </w:p>
        <w:p w14:paraId="6AAA893B" w14:textId="40206CBC" w:rsidR="00646B60" w:rsidRPr="00646B60" w:rsidRDefault="00646B60" w:rsidP="00646B60">
          <w:pPr>
            <w:autoSpaceDE w:val="0"/>
            <w:autoSpaceDN w:val="0"/>
            <w:ind w:hanging="480"/>
            <w:jc w:val="both"/>
            <w:divId w:val="1448085839"/>
            <w:rPr>
              <w:rFonts w:eastAsia="Times New Roman"/>
            </w:rPr>
          </w:pPr>
        </w:p>
        <w:p w14:paraId="42CE4AE8" w14:textId="6832CBC4" w:rsidR="001E6F74" w:rsidRDefault="00000000" w:rsidP="00646B60">
          <w:pPr>
            <w:spacing w:after="0" w:line="240" w:lineRule="auto"/>
            <w:ind w:left="720" w:hanging="720"/>
            <w:jc w:val="both"/>
            <w:rPr>
              <w:rFonts w:ascii="Times New Roman" w:eastAsia="Times New Roman" w:hAnsi="Times New Roman" w:cs="Times New Roman"/>
              <w:sz w:val="24"/>
              <w:szCs w:val="24"/>
            </w:rPr>
          </w:pPr>
        </w:p>
      </w:sdtContent>
    </w:sdt>
    <w:sectPr w:rsidR="001E6F74" w:rsidSect="00B31464">
      <w:headerReference w:type="even" r:id="rId29"/>
      <w:headerReference w:type="default" r:id="rId30"/>
      <w:footerReference w:type="even" r:id="rId31"/>
      <w:footerReference w:type="default" r:id="rId32"/>
      <w:footerReference w:type="first" r:id="rId33"/>
      <w:pgSz w:w="11906" w:h="16838"/>
      <w:pgMar w:top="2268" w:right="1701" w:bottom="1701" w:left="2268" w:header="709" w:footer="709" w:gutter="0"/>
      <w:pgNumType w:start="90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D0D92" w14:textId="77777777" w:rsidR="00194170" w:rsidRPr="009525BC" w:rsidRDefault="00194170">
      <w:pPr>
        <w:spacing w:after="0" w:line="240" w:lineRule="auto"/>
      </w:pPr>
      <w:r w:rsidRPr="009525BC">
        <w:separator/>
      </w:r>
    </w:p>
  </w:endnote>
  <w:endnote w:type="continuationSeparator" w:id="0">
    <w:p w14:paraId="2AD55DDD" w14:textId="77777777" w:rsidR="00194170" w:rsidRPr="009525BC" w:rsidRDefault="00194170">
      <w:pPr>
        <w:spacing w:after="0" w:line="240" w:lineRule="auto"/>
      </w:pPr>
      <w:r w:rsidRPr="009525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EBEB8F2-443A-42CB-9A62-2A10138E9765}"/>
    <w:embedBold r:id="rId2" w:fontKey="{B9AF026B-87B4-4F0F-A54E-9F55ED3609E6}"/>
    <w:embedItalic r:id="rId3" w:fontKey="{D25DC659-2734-4A87-86EC-2140153A351F}"/>
    <w:embedBoldItalic r:id="rId4" w:fontKey="{3FD421CD-4144-46C0-A8FF-38B363336E5B}"/>
  </w:font>
  <w:font w:name="Cambria">
    <w:panose1 w:val="02040503050406030204"/>
    <w:charset w:val="00"/>
    <w:family w:val="roman"/>
    <w:pitch w:val="variable"/>
    <w:sig w:usb0="E00006FF" w:usb1="420024FF" w:usb2="02000000" w:usb3="00000000" w:csb0="0000019F" w:csb1="00000000"/>
    <w:embedRegular r:id="rId5" w:fontKey="{38539686-7735-43D0-8DA2-9C44DA3921B3}"/>
    <w:embedBold r:id="rId6" w:fontKey="{BFA28066-4C95-4D50-85F1-501AA0DD1D98}"/>
    <w:embedItalic r:id="rId7" w:fontKey="{32E77798-E25E-4F2E-819A-749D216A516F}"/>
    <w:embedBoldItalic r:id="rId8" w:fontKey="{5247BC69-7828-407A-A759-7AB34568ACF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30A6ED5-C973-4E7D-A42F-247FD9CDA2F8}"/>
  </w:font>
  <w:font w:name="Calibri Light">
    <w:panose1 w:val="020F0302020204030204"/>
    <w:charset w:val="00"/>
    <w:family w:val="swiss"/>
    <w:pitch w:val="variable"/>
    <w:sig w:usb0="E4002EFF" w:usb1="C200247B" w:usb2="00000009" w:usb3="00000000" w:csb0="000001FF" w:csb1="00000000"/>
    <w:embedRegular r:id="rId10" w:fontKey="{EFF42953-7E62-4D32-9B2B-14BD3F52997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1" w:fontKey="{C2D22AFB-9D74-49B3-8C9A-A1CAF663F640}"/>
    <w:embedBold r:id="rId12" w:fontKey="{D4F22814-1263-4CCF-98D0-17C4F7D2FCF1}"/>
    <w:embedBoldItalic r:id="rId13" w:fontKey="{3AA91011-5B39-40BE-B1CF-3402117D884C}"/>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125D" w14:textId="6C9C0BF3" w:rsidR="001E6F74" w:rsidRPr="009525BC" w:rsidRDefault="006B0635">
    <w:pPr>
      <w:pBdr>
        <w:top w:val="nil"/>
        <w:left w:val="nil"/>
        <w:bottom w:val="nil"/>
        <w:right w:val="nil"/>
        <w:between w:val="nil"/>
      </w:pBdr>
      <w:tabs>
        <w:tab w:val="center" w:pos="4513"/>
        <w:tab w:val="right" w:pos="9026"/>
      </w:tabs>
      <w:spacing w:after="0" w:line="240" w:lineRule="auto"/>
      <w:rPr>
        <w:rFonts w:ascii="Cambria Math" w:eastAsia="Cambria Math" w:hAnsi="Cambria Math" w:cs="Cambria Math"/>
        <w:color w:val="000000"/>
      </w:rPr>
    </w:pPr>
    <w:r w:rsidRPr="006B0635">
      <w:rPr>
        <w:rFonts w:ascii="Cambria Math" w:eastAsia="Cambria Math" w:hAnsi="Cambria Math" w:cs="Cambria Math"/>
        <w:color w:val="000000"/>
      </w:rPr>
      <w:t>Optimizing Employee Work Productivity Through Increasing Motivation and Work Experience</w:t>
    </w:r>
  </w:p>
  <w:p w14:paraId="785E4DB4" w14:textId="77777777" w:rsidR="001E6F74" w:rsidRPr="009525BC" w:rsidRDefault="00000000">
    <w:pPr>
      <w:pBdr>
        <w:top w:val="nil"/>
        <w:left w:val="nil"/>
        <w:bottom w:val="nil"/>
        <w:right w:val="nil"/>
        <w:between w:val="nil"/>
      </w:pBdr>
      <w:tabs>
        <w:tab w:val="center" w:pos="4513"/>
        <w:tab w:val="right" w:pos="9026"/>
      </w:tabs>
      <w:spacing w:after="0" w:line="240" w:lineRule="auto"/>
      <w:jc w:val="right"/>
      <w:rPr>
        <w:rFonts w:ascii="Cambria Math" w:eastAsia="Cambria Math" w:hAnsi="Cambria Math" w:cs="Cambria Math"/>
        <w:color w:val="000000"/>
      </w:rPr>
    </w:pPr>
    <w:r w:rsidRPr="009525BC">
      <w:rPr>
        <w:color w:val="000000"/>
      </w:rPr>
      <w:fldChar w:fldCharType="begin"/>
    </w:r>
    <w:r w:rsidRPr="009525BC">
      <w:rPr>
        <w:color w:val="000000"/>
      </w:rPr>
      <w:instrText>PAGE</w:instrText>
    </w:r>
    <w:r w:rsidRPr="009525BC">
      <w:rPr>
        <w:color w:val="000000"/>
      </w:rPr>
      <w:fldChar w:fldCharType="separate"/>
    </w:r>
    <w:r w:rsidR="00474A2F" w:rsidRPr="009525BC">
      <w:rPr>
        <w:color w:val="000000"/>
      </w:rPr>
      <w:t>2</w:t>
    </w:r>
    <w:r w:rsidRPr="009525BC">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6A835" w14:textId="77777777" w:rsidR="001E6F74" w:rsidRPr="009525BC" w:rsidRDefault="00000000">
    <w:pPr>
      <w:pBdr>
        <w:top w:val="nil"/>
        <w:left w:val="nil"/>
        <w:bottom w:val="nil"/>
        <w:right w:val="nil"/>
        <w:between w:val="nil"/>
      </w:pBdr>
      <w:tabs>
        <w:tab w:val="center" w:pos="4513"/>
        <w:tab w:val="right" w:pos="9026"/>
        <w:tab w:val="right" w:pos="7937"/>
      </w:tabs>
      <w:spacing w:after="0" w:line="240" w:lineRule="auto"/>
      <w:jc w:val="right"/>
      <w:rPr>
        <w:color w:val="000000"/>
      </w:rPr>
    </w:pPr>
    <w:r w:rsidRPr="009525BC">
      <w:rPr>
        <w:color w:val="000000"/>
      </w:rPr>
      <w:fldChar w:fldCharType="begin"/>
    </w:r>
    <w:r w:rsidRPr="009525BC">
      <w:rPr>
        <w:color w:val="000000"/>
      </w:rPr>
      <w:instrText>PAGE</w:instrText>
    </w:r>
    <w:r w:rsidRPr="009525BC">
      <w:rPr>
        <w:color w:val="000000"/>
      </w:rPr>
      <w:fldChar w:fldCharType="separate"/>
    </w:r>
    <w:r w:rsidR="00474A2F" w:rsidRPr="009525BC">
      <w:rPr>
        <w:color w:val="000000"/>
      </w:rPr>
      <w:t>3</w:t>
    </w:r>
    <w:r w:rsidRPr="009525BC">
      <w:rPr>
        <w:color w:val="000000"/>
      </w:rPr>
      <w:fldChar w:fldCharType="end"/>
    </w:r>
    <w:r w:rsidRPr="009525BC">
      <w:rPr>
        <w:color w:val="000000"/>
      </w:rPr>
      <w:tab/>
    </w:r>
    <w:r w:rsidRPr="009525BC">
      <w:rPr>
        <w:color w:val="000000"/>
      </w:rPr>
      <w:tab/>
    </w:r>
    <w:r w:rsidRPr="009525BC">
      <w:rPr>
        <w:rFonts w:ascii="Cambria Math" w:eastAsia="Cambria Math" w:hAnsi="Cambria Math" w:cs="Cambria Math"/>
        <w:color w:val="000000"/>
      </w:rPr>
      <w:t>http://eduvest.greenvest.co.id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757087"/>
      <w:docPartObj>
        <w:docPartGallery w:val="Page Numbers (Bottom of Page)"/>
        <w:docPartUnique/>
      </w:docPartObj>
    </w:sdtPr>
    <w:sdtEndPr>
      <w:rPr>
        <w:noProof/>
      </w:rPr>
    </w:sdtEndPr>
    <w:sdtContent>
      <w:p w14:paraId="6BAF8996" w14:textId="333FFDA1" w:rsidR="00B31464" w:rsidRDefault="00B314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1476A1" w14:textId="77777777" w:rsidR="001E6F74" w:rsidRPr="009525BC" w:rsidRDefault="001E6F7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28D40" w14:textId="77777777" w:rsidR="00194170" w:rsidRPr="009525BC" w:rsidRDefault="00194170">
      <w:pPr>
        <w:spacing w:after="0" w:line="240" w:lineRule="auto"/>
      </w:pPr>
      <w:r w:rsidRPr="009525BC">
        <w:separator/>
      </w:r>
    </w:p>
  </w:footnote>
  <w:footnote w:type="continuationSeparator" w:id="0">
    <w:p w14:paraId="283AFFC4" w14:textId="77777777" w:rsidR="00194170" w:rsidRPr="009525BC" w:rsidRDefault="00194170">
      <w:pPr>
        <w:spacing w:after="0" w:line="240" w:lineRule="auto"/>
      </w:pPr>
      <w:r w:rsidRPr="009525B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08D6" w14:textId="2F25CB58" w:rsidR="001E6F74" w:rsidRPr="00B31464" w:rsidRDefault="00B31464" w:rsidP="00B31464">
    <w:pPr>
      <w:pStyle w:val="Header"/>
    </w:pPr>
    <w:r w:rsidRPr="00B31464">
      <w:rPr>
        <w:rFonts w:ascii="Times New Roman" w:eastAsia="Times New Roman" w:hAnsi="Times New Roman" w:cs="Times New Roman"/>
        <w:color w:val="000000"/>
      </w:rPr>
      <w:t xml:space="preserve">Agus Setiadi, Yohanes </w:t>
    </w:r>
    <w:proofErr w:type="spellStart"/>
    <w:r w:rsidRPr="00B31464">
      <w:rPr>
        <w:rFonts w:ascii="Times New Roman" w:eastAsia="Times New Roman" w:hAnsi="Times New Roman" w:cs="Times New Roman"/>
        <w:color w:val="000000"/>
      </w:rPr>
      <w:t>Sulistyadi</w:t>
    </w:r>
    <w:proofErr w:type="spellEnd"/>
    <w:r w:rsidRPr="00B31464">
      <w:rPr>
        <w:rFonts w:ascii="Times New Roman" w:eastAsia="Times New Roman" w:hAnsi="Times New Roman" w:cs="Times New Roman"/>
        <w:color w:val="000000"/>
      </w:rPr>
      <w:t xml:space="preserve">, Ramon </w:t>
    </w:r>
    <w:proofErr w:type="spellStart"/>
    <w:r w:rsidRPr="00B31464">
      <w:rPr>
        <w:rFonts w:ascii="Times New Roman" w:eastAsia="Times New Roman" w:hAnsi="Times New Roman" w:cs="Times New Roman"/>
        <w:color w:val="000000"/>
      </w:rPr>
      <w:t>Hurdawaty</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B916" w14:textId="77777777" w:rsidR="001E6F74" w:rsidRPr="009525BC" w:rsidRDefault="00000000">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2060"/>
      </w:rPr>
    </w:pPr>
    <w:proofErr w:type="spellStart"/>
    <w:r w:rsidRPr="009525BC">
      <w:rPr>
        <w:rFonts w:ascii="Cambria" w:eastAsia="Cambria" w:hAnsi="Cambria" w:cs="Cambria"/>
        <w:color w:val="002060"/>
      </w:rPr>
      <w:t>Eduvest</w:t>
    </w:r>
    <w:proofErr w:type="spellEnd"/>
    <w:r w:rsidRPr="009525BC">
      <w:rPr>
        <w:rFonts w:ascii="Cambria" w:eastAsia="Cambria" w:hAnsi="Cambria" w:cs="Cambria"/>
        <w:color w:val="002060"/>
      </w:rPr>
      <w:t xml:space="preserve"> – Journal of Universal Studies</w:t>
    </w:r>
  </w:p>
  <w:p w14:paraId="6BD4623F" w14:textId="755F6752" w:rsidR="001E6F74" w:rsidRPr="009525BC" w:rsidRDefault="00000000">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2060"/>
      </w:rPr>
    </w:pPr>
    <w:r w:rsidRPr="009525BC">
      <w:rPr>
        <w:rFonts w:ascii="Cambria" w:eastAsia="Cambria" w:hAnsi="Cambria" w:cs="Cambria"/>
        <w:color w:val="002060"/>
      </w:rPr>
      <w:t xml:space="preserve">Volume </w:t>
    </w:r>
    <w:r w:rsidR="00514FFD">
      <w:rPr>
        <w:rFonts w:ascii="Cambria" w:eastAsia="Cambria" w:hAnsi="Cambria" w:cs="Cambria"/>
        <w:color w:val="002060"/>
      </w:rPr>
      <w:t>5</w:t>
    </w:r>
    <w:r w:rsidRPr="009525BC">
      <w:rPr>
        <w:rFonts w:ascii="Cambria" w:eastAsia="Cambria" w:hAnsi="Cambria" w:cs="Cambria"/>
        <w:color w:val="002060"/>
      </w:rPr>
      <w:t xml:space="preserve">, Number </w:t>
    </w:r>
    <w:r w:rsidR="00514FFD">
      <w:rPr>
        <w:rFonts w:ascii="Cambria" w:eastAsia="Cambria" w:hAnsi="Cambria" w:cs="Cambria"/>
        <w:color w:val="002060"/>
      </w:rPr>
      <w:t>7</w:t>
    </w:r>
    <w:r w:rsidRPr="009525BC">
      <w:rPr>
        <w:rFonts w:ascii="Cambria" w:eastAsia="Cambria" w:hAnsi="Cambria" w:cs="Cambria"/>
        <w:color w:val="002060"/>
      </w:rPr>
      <w:t xml:space="preserve">, </w:t>
    </w:r>
    <w:r w:rsidR="00514FFD">
      <w:rPr>
        <w:rFonts w:ascii="Cambria" w:eastAsia="Cambria" w:hAnsi="Cambria" w:cs="Cambria"/>
        <w:color w:val="002060"/>
      </w:rPr>
      <w:t>July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2FC1"/>
    <w:multiLevelType w:val="multilevel"/>
    <w:tmpl w:val="69C6708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546914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NjM3MDU3A3IMDJV0lIJTi4sz8/NACgxrAf8op/EsAAAA"/>
  </w:docVars>
  <w:rsids>
    <w:rsidRoot w:val="001E6F74"/>
    <w:rsid w:val="0003016E"/>
    <w:rsid w:val="0004569F"/>
    <w:rsid w:val="00070BBF"/>
    <w:rsid w:val="00131860"/>
    <w:rsid w:val="001448B7"/>
    <w:rsid w:val="00194170"/>
    <w:rsid w:val="001E6F74"/>
    <w:rsid w:val="00256BA5"/>
    <w:rsid w:val="00386918"/>
    <w:rsid w:val="003A7B7E"/>
    <w:rsid w:val="003B51A5"/>
    <w:rsid w:val="00474A2F"/>
    <w:rsid w:val="00493FF0"/>
    <w:rsid w:val="004C560D"/>
    <w:rsid w:val="00514FFD"/>
    <w:rsid w:val="00543608"/>
    <w:rsid w:val="00557A6E"/>
    <w:rsid w:val="00646B60"/>
    <w:rsid w:val="006B0635"/>
    <w:rsid w:val="007E16CA"/>
    <w:rsid w:val="007E241D"/>
    <w:rsid w:val="008146A9"/>
    <w:rsid w:val="008961E6"/>
    <w:rsid w:val="008E45C5"/>
    <w:rsid w:val="00934028"/>
    <w:rsid w:val="009525BC"/>
    <w:rsid w:val="00A22BFD"/>
    <w:rsid w:val="00A429AB"/>
    <w:rsid w:val="00AA3964"/>
    <w:rsid w:val="00B31464"/>
    <w:rsid w:val="00B41E66"/>
    <w:rsid w:val="00B820B3"/>
    <w:rsid w:val="00BB5681"/>
    <w:rsid w:val="00BB7934"/>
    <w:rsid w:val="00BC747F"/>
    <w:rsid w:val="00C05BBC"/>
    <w:rsid w:val="00C93F56"/>
    <w:rsid w:val="00D46030"/>
    <w:rsid w:val="00F00B38"/>
    <w:rsid w:val="00F137B4"/>
    <w:rsid w:val="00F23C59"/>
    <w:rsid w:val="00F30248"/>
    <w:rsid w:val="00F35A8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753DDD"/>
  <w15:docId w15:val="{7CECA34A-95F0-4AEF-97D2-1A722C73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D5A"/>
    <w:pPr>
      <w:spacing w:after="160" w:line="259" w:lineRule="auto"/>
    </w:pPr>
    <w:rPr>
      <w:sz w:val="22"/>
      <w:szCs w:val="22"/>
      <w:lang w:val="en-US"/>
    </w:rPr>
  </w:style>
  <w:style w:type="paragraph" w:styleId="Heading1">
    <w:name w:val="heading 1"/>
    <w:basedOn w:val="Normal"/>
    <w:next w:val="Normal"/>
    <w:link w:val="Heading1Char"/>
    <w:uiPriority w:val="9"/>
    <w:qFormat/>
    <w:rsid w:val="00067D5A"/>
    <w:pPr>
      <w:keepNext/>
      <w:keepLines/>
      <w:numPr>
        <w:numId w:val="1"/>
      </w:numPr>
      <w:pBdr>
        <w:bottom w:val="single" w:sz="4" w:space="1" w:color="595959"/>
      </w:pBdr>
      <w:spacing w:before="360"/>
      <w:outlineLvl w:val="0"/>
    </w:pPr>
    <w:rPr>
      <w:rFonts w:ascii="Cambria" w:eastAsia="Times New Roman" w:hAnsi="Cambria" w:cs="Times New Roman"/>
      <w:b/>
      <w:bCs/>
      <w:smallCaps/>
      <w:color w:val="000000"/>
      <w:sz w:val="36"/>
      <w:szCs w:val="36"/>
    </w:rPr>
  </w:style>
  <w:style w:type="paragraph" w:styleId="Heading2">
    <w:name w:val="heading 2"/>
    <w:basedOn w:val="Normal"/>
    <w:next w:val="Normal"/>
    <w:link w:val="Heading2Char"/>
    <w:uiPriority w:val="9"/>
    <w:semiHidden/>
    <w:unhideWhenUsed/>
    <w:qFormat/>
    <w:rsid w:val="00067D5A"/>
    <w:pPr>
      <w:keepNext/>
      <w:keepLines/>
      <w:numPr>
        <w:ilvl w:val="1"/>
        <w:numId w:val="1"/>
      </w:numPr>
      <w:spacing w:before="360" w:after="0"/>
      <w:outlineLvl w:val="1"/>
    </w:pPr>
    <w:rPr>
      <w:rFonts w:ascii="Cambria" w:eastAsia="Times New Roman" w:hAnsi="Cambria" w:cs="Times New Roman"/>
      <w:b/>
      <w:bCs/>
      <w:smallCaps/>
      <w:color w:val="000000"/>
      <w:sz w:val="28"/>
      <w:szCs w:val="28"/>
    </w:rPr>
  </w:style>
  <w:style w:type="paragraph" w:styleId="Heading3">
    <w:name w:val="heading 3"/>
    <w:basedOn w:val="Normal"/>
    <w:next w:val="Normal"/>
    <w:link w:val="Heading3Char"/>
    <w:uiPriority w:val="9"/>
    <w:semiHidden/>
    <w:unhideWhenUsed/>
    <w:qFormat/>
    <w:rsid w:val="00067D5A"/>
    <w:pPr>
      <w:keepNext/>
      <w:keepLines/>
      <w:numPr>
        <w:ilvl w:val="2"/>
        <w:numId w:val="1"/>
      </w:numPr>
      <w:spacing w:before="200" w:after="0"/>
      <w:outlineLvl w:val="2"/>
    </w:pPr>
    <w:rPr>
      <w:rFonts w:ascii="Cambria" w:eastAsia="Times New Roman" w:hAnsi="Cambria" w:cs="Times New Roman"/>
      <w:b/>
      <w:bCs/>
      <w:color w:val="000000"/>
    </w:rPr>
  </w:style>
  <w:style w:type="paragraph" w:styleId="Heading4">
    <w:name w:val="heading 4"/>
    <w:basedOn w:val="Normal"/>
    <w:next w:val="Normal"/>
    <w:link w:val="Heading4Char"/>
    <w:uiPriority w:val="9"/>
    <w:semiHidden/>
    <w:unhideWhenUsed/>
    <w:qFormat/>
    <w:rsid w:val="00067D5A"/>
    <w:pPr>
      <w:keepNext/>
      <w:keepLines/>
      <w:numPr>
        <w:ilvl w:val="3"/>
        <w:numId w:val="1"/>
      </w:numPr>
      <w:spacing w:before="200" w:after="0"/>
      <w:outlineLvl w:val="3"/>
    </w:pPr>
    <w:rPr>
      <w:rFonts w:ascii="Cambria" w:eastAsia="Times New Roman" w:hAnsi="Cambria" w:cs="Times New Roman"/>
      <w:b/>
      <w:bCs/>
      <w:i/>
      <w:iCs/>
      <w:color w:val="000000"/>
    </w:rPr>
  </w:style>
  <w:style w:type="paragraph" w:styleId="Heading5">
    <w:name w:val="heading 5"/>
    <w:basedOn w:val="Normal"/>
    <w:next w:val="Normal"/>
    <w:link w:val="Heading5Char"/>
    <w:uiPriority w:val="9"/>
    <w:semiHidden/>
    <w:unhideWhenUsed/>
    <w:qFormat/>
    <w:rsid w:val="00067D5A"/>
    <w:pPr>
      <w:keepNext/>
      <w:keepLines/>
      <w:numPr>
        <w:ilvl w:val="4"/>
        <w:numId w:val="1"/>
      </w:numPr>
      <w:spacing w:before="200" w:after="0"/>
      <w:outlineLvl w:val="4"/>
    </w:pPr>
    <w:rPr>
      <w:rFonts w:ascii="Cambria" w:eastAsia="Times New Roman" w:hAnsi="Cambria" w:cs="Times New Roman"/>
      <w:color w:val="17365D"/>
    </w:rPr>
  </w:style>
  <w:style w:type="paragraph" w:styleId="Heading6">
    <w:name w:val="heading 6"/>
    <w:basedOn w:val="Normal"/>
    <w:next w:val="Normal"/>
    <w:link w:val="Heading6Char"/>
    <w:uiPriority w:val="9"/>
    <w:semiHidden/>
    <w:unhideWhenUsed/>
    <w:qFormat/>
    <w:rsid w:val="00067D5A"/>
    <w:pPr>
      <w:keepNext/>
      <w:keepLines/>
      <w:numPr>
        <w:ilvl w:val="5"/>
        <w:numId w:val="1"/>
      </w:numPr>
      <w:spacing w:before="200" w:after="0"/>
      <w:outlineLvl w:val="5"/>
    </w:pPr>
    <w:rPr>
      <w:rFonts w:ascii="Cambria" w:eastAsia="Times New Roman" w:hAnsi="Cambria" w:cs="Times New Roman"/>
      <w:i/>
      <w:iCs/>
      <w:color w:val="17365D"/>
    </w:rPr>
  </w:style>
  <w:style w:type="paragraph" w:styleId="Heading7">
    <w:name w:val="heading 7"/>
    <w:basedOn w:val="Normal"/>
    <w:next w:val="Normal"/>
    <w:link w:val="Heading7Char"/>
    <w:uiPriority w:val="9"/>
    <w:semiHidden/>
    <w:unhideWhenUsed/>
    <w:qFormat/>
    <w:rsid w:val="00067D5A"/>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67D5A"/>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067D5A"/>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pPr>
      <w:spacing w:after="160" w:line="259" w:lineRule="auto"/>
    </w:pPr>
    <w:rPr>
      <w:sz w:val="22"/>
      <w:szCs w:val="22"/>
      <w:lang w:val="en-US"/>
    </w:rPr>
    <w:tblPr>
      <w:tblCellMar>
        <w:top w:w="0" w:type="dxa"/>
        <w:left w:w="0" w:type="dxa"/>
        <w:bottom w:w="0" w:type="dxa"/>
        <w:right w:w="0" w:type="dxa"/>
      </w:tblCellMar>
    </w:tblPr>
  </w:style>
  <w:style w:type="paragraph" w:styleId="Title">
    <w:name w:val="Title"/>
    <w:basedOn w:val="Normal"/>
    <w:next w:val="Normal"/>
    <w:link w:val="TitleChar"/>
    <w:uiPriority w:val="10"/>
    <w:qFormat/>
    <w:rsid w:val="00067D5A"/>
    <w:pPr>
      <w:spacing w:after="0" w:line="240" w:lineRule="auto"/>
      <w:contextualSpacing/>
    </w:pPr>
    <w:rPr>
      <w:rFonts w:ascii="Cambria" w:eastAsia="Times New Roman" w:hAnsi="Cambria" w:cs="Times New Roman"/>
      <w:color w:val="000000"/>
      <w:sz w:val="56"/>
      <w:szCs w:val="56"/>
    </w:rPr>
  </w:style>
  <w:style w:type="paragraph" w:styleId="Header">
    <w:name w:val="header"/>
    <w:basedOn w:val="Normal"/>
    <w:link w:val="HeaderChar"/>
    <w:uiPriority w:val="99"/>
    <w:unhideWhenUsed/>
    <w:rsid w:val="00D4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ED7"/>
  </w:style>
  <w:style w:type="paragraph" w:styleId="Footer">
    <w:name w:val="footer"/>
    <w:basedOn w:val="Normal"/>
    <w:link w:val="FooterChar"/>
    <w:uiPriority w:val="99"/>
    <w:unhideWhenUsed/>
    <w:rsid w:val="00D4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ED7"/>
  </w:style>
  <w:style w:type="table" w:styleId="TableGrid">
    <w:name w:val="Table Grid"/>
    <w:basedOn w:val="TableNormal"/>
    <w:uiPriority w:val="59"/>
    <w:rsid w:val="003B0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B0807"/>
    <w:rPr>
      <w:color w:val="0000FF"/>
      <w:u w:val="single"/>
    </w:rPr>
  </w:style>
  <w:style w:type="table" w:styleId="LightShading">
    <w:name w:val="Light Shading"/>
    <w:basedOn w:val="TableNormal"/>
    <w:uiPriority w:val="60"/>
    <w:rsid w:val="003B08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link w:val="ListParagraphChar"/>
    <w:uiPriority w:val="34"/>
    <w:qFormat/>
    <w:rsid w:val="00197B7D"/>
    <w:pPr>
      <w:ind w:left="720"/>
      <w:contextualSpacing/>
    </w:pPr>
  </w:style>
  <w:style w:type="character" w:styleId="CommentReference">
    <w:name w:val="annotation reference"/>
    <w:uiPriority w:val="99"/>
    <w:semiHidden/>
    <w:unhideWhenUsed/>
    <w:rsid w:val="00596B66"/>
    <w:rPr>
      <w:sz w:val="16"/>
      <w:szCs w:val="16"/>
    </w:rPr>
  </w:style>
  <w:style w:type="paragraph" w:styleId="CommentText">
    <w:name w:val="annotation text"/>
    <w:basedOn w:val="Normal"/>
    <w:link w:val="CommentTextChar"/>
    <w:uiPriority w:val="99"/>
    <w:unhideWhenUsed/>
    <w:rsid w:val="00F671BD"/>
    <w:pPr>
      <w:spacing w:after="0" w:line="240" w:lineRule="auto"/>
      <w:jc w:val="both"/>
    </w:pPr>
    <w:rPr>
      <w:sz w:val="20"/>
      <w:szCs w:val="20"/>
    </w:rPr>
  </w:style>
  <w:style w:type="character" w:customStyle="1" w:styleId="CommentTextChar">
    <w:name w:val="Comment Text Char"/>
    <w:link w:val="CommentText"/>
    <w:uiPriority w:val="99"/>
    <w:rsid w:val="00F671BD"/>
    <w:rPr>
      <w:sz w:val="20"/>
      <w:szCs w:val="20"/>
    </w:rPr>
  </w:style>
  <w:style w:type="paragraph" w:styleId="CommentSubject">
    <w:name w:val="annotation subject"/>
    <w:basedOn w:val="CommentText"/>
    <w:next w:val="CommentText"/>
    <w:link w:val="CommentSubjectChar"/>
    <w:uiPriority w:val="99"/>
    <w:semiHidden/>
    <w:unhideWhenUsed/>
    <w:rsid w:val="00C2479E"/>
    <w:pPr>
      <w:spacing w:after="200"/>
      <w:jc w:val="left"/>
    </w:pPr>
    <w:rPr>
      <w:b/>
      <w:bCs/>
    </w:rPr>
  </w:style>
  <w:style w:type="character" w:customStyle="1" w:styleId="CommentSubjectChar">
    <w:name w:val="Comment Subject Char"/>
    <w:link w:val="CommentSubject"/>
    <w:uiPriority w:val="99"/>
    <w:semiHidden/>
    <w:rsid w:val="00C2479E"/>
    <w:rPr>
      <w:b/>
      <w:bCs/>
      <w:sz w:val="20"/>
      <w:szCs w:val="20"/>
    </w:rPr>
  </w:style>
  <w:style w:type="paragraph" w:styleId="BalloonText">
    <w:name w:val="Balloon Text"/>
    <w:basedOn w:val="Normal"/>
    <w:link w:val="BalloonTextChar"/>
    <w:uiPriority w:val="99"/>
    <w:semiHidden/>
    <w:unhideWhenUsed/>
    <w:rsid w:val="00C247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479E"/>
    <w:rPr>
      <w:rFonts w:ascii="Tahoma" w:hAnsi="Tahoma" w:cs="Tahoma"/>
      <w:sz w:val="16"/>
      <w:szCs w:val="16"/>
    </w:rPr>
  </w:style>
  <w:style w:type="character" w:customStyle="1" w:styleId="ListParagraphChar">
    <w:name w:val="List Paragraph Char"/>
    <w:link w:val="ListParagraph"/>
    <w:uiPriority w:val="34"/>
    <w:rsid w:val="00B8191D"/>
  </w:style>
  <w:style w:type="paragraph" w:styleId="BodyText">
    <w:name w:val="Body Text"/>
    <w:basedOn w:val="Normal"/>
    <w:link w:val="BodyTextChar"/>
    <w:uiPriority w:val="1"/>
    <w:rsid w:val="00B8191D"/>
    <w:pPr>
      <w:widowControl w:val="0"/>
      <w:autoSpaceDE w:val="0"/>
      <w:autoSpaceDN w:val="0"/>
      <w:spacing w:after="0" w:line="240" w:lineRule="auto"/>
      <w:ind w:left="152"/>
    </w:pPr>
    <w:rPr>
      <w:sz w:val="20"/>
      <w:szCs w:val="20"/>
    </w:rPr>
  </w:style>
  <w:style w:type="character" w:customStyle="1" w:styleId="BodyTextChar">
    <w:name w:val="Body Text Char"/>
    <w:link w:val="BodyText"/>
    <w:uiPriority w:val="1"/>
    <w:rsid w:val="00B8191D"/>
    <w:rPr>
      <w:rFonts w:ascii="Calibri" w:eastAsia="Calibri" w:hAnsi="Calibri" w:cs="Calibri"/>
      <w:sz w:val="20"/>
      <w:szCs w:val="20"/>
      <w:lang w:val="en-US"/>
    </w:rPr>
  </w:style>
  <w:style w:type="paragraph" w:customStyle="1" w:styleId="Heading11">
    <w:name w:val="Heading 11"/>
    <w:basedOn w:val="Normal"/>
    <w:next w:val="Normal"/>
    <w:uiPriority w:val="9"/>
    <w:rsid w:val="00630423"/>
    <w:pPr>
      <w:keepNext/>
      <w:keepLines/>
      <w:spacing w:before="240" w:after="0" w:line="240" w:lineRule="auto"/>
      <w:outlineLvl w:val="0"/>
    </w:pPr>
    <w:rPr>
      <w:rFonts w:ascii="Calibri Light" w:eastAsia="Malgun Gothic" w:hAnsi="Calibri Light" w:cs="Times New Roman"/>
      <w:color w:val="2F5496"/>
      <w:sz w:val="32"/>
      <w:szCs w:val="32"/>
    </w:rPr>
  </w:style>
  <w:style w:type="paragraph" w:customStyle="1" w:styleId="Heading21">
    <w:name w:val="Heading 21"/>
    <w:basedOn w:val="Normal"/>
    <w:next w:val="Normal"/>
    <w:uiPriority w:val="9"/>
    <w:unhideWhenUsed/>
    <w:rsid w:val="00630423"/>
    <w:pPr>
      <w:keepNext/>
      <w:keepLines/>
      <w:spacing w:before="40" w:after="0" w:line="240" w:lineRule="auto"/>
      <w:outlineLvl w:val="1"/>
    </w:pPr>
    <w:rPr>
      <w:rFonts w:ascii="Calibri Light" w:eastAsia="Malgun Gothic" w:hAnsi="Calibri Light" w:cs="Times New Roman"/>
      <w:color w:val="2F5496"/>
      <w:sz w:val="26"/>
      <w:szCs w:val="26"/>
    </w:rPr>
  </w:style>
  <w:style w:type="character" w:customStyle="1" w:styleId="Heading3Char">
    <w:name w:val="Heading 3 Char"/>
    <w:link w:val="Heading3"/>
    <w:uiPriority w:val="9"/>
    <w:rsid w:val="00067D5A"/>
    <w:rPr>
      <w:rFonts w:ascii="Cambria" w:eastAsia="Times New Roman" w:hAnsi="Cambria" w:cs="Times New Roman"/>
      <w:b/>
      <w:bCs/>
      <w:color w:val="000000"/>
    </w:rPr>
  </w:style>
  <w:style w:type="numbering" w:customStyle="1" w:styleId="NoList1">
    <w:name w:val="No List1"/>
    <w:next w:val="NoList"/>
    <w:uiPriority w:val="99"/>
    <w:semiHidden/>
    <w:unhideWhenUsed/>
    <w:rsid w:val="00630423"/>
  </w:style>
  <w:style w:type="table" w:customStyle="1" w:styleId="TableGrid1">
    <w:name w:val="Table Grid1"/>
    <w:basedOn w:val="TableNormal"/>
    <w:next w:val="TableGrid"/>
    <w:uiPriority w:val="39"/>
    <w:rsid w:val="0063042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30423"/>
  </w:style>
  <w:style w:type="paragraph" w:styleId="NormalWeb">
    <w:name w:val="Normal (Web)"/>
    <w:basedOn w:val="Normal"/>
    <w:uiPriority w:val="99"/>
    <w:unhideWhenUsed/>
    <w:rsid w:val="00630423"/>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link w:val="Heading1"/>
    <w:uiPriority w:val="9"/>
    <w:rsid w:val="00067D5A"/>
    <w:rPr>
      <w:rFonts w:ascii="Cambria" w:eastAsia="Times New Roman" w:hAnsi="Cambria" w:cs="Times New Roman"/>
      <w:b/>
      <w:bCs/>
      <w:smallCaps/>
      <w:color w:val="000000"/>
      <w:sz w:val="36"/>
      <w:szCs w:val="36"/>
    </w:rPr>
  </w:style>
  <w:style w:type="character" w:styleId="Emphasis">
    <w:name w:val="Emphasis"/>
    <w:uiPriority w:val="20"/>
    <w:qFormat/>
    <w:rsid w:val="00067D5A"/>
    <w:rPr>
      <w:i/>
      <w:iCs/>
      <w:color w:val="auto"/>
    </w:rPr>
  </w:style>
  <w:style w:type="character" w:customStyle="1" w:styleId="apple-converted-space">
    <w:name w:val="apple-converted-space"/>
    <w:basedOn w:val="DefaultParagraphFont"/>
    <w:rsid w:val="00630423"/>
  </w:style>
  <w:style w:type="character" w:customStyle="1" w:styleId="Heading2Char">
    <w:name w:val="Heading 2 Char"/>
    <w:link w:val="Heading2"/>
    <w:uiPriority w:val="9"/>
    <w:semiHidden/>
    <w:rsid w:val="00067D5A"/>
    <w:rPr>
      <w:rFonts w:ascii="Cambria" w:eastAsia="Times New Roman" w:hAnsi="Cambria" w:cs="Times New Roman"/>
      <w:b/>
      <w:bCs/>
      <w:smallCaps/>
      <w:color w:val="000000"/>
      <w:sz w:val="28"/>
      <w:szCs w:val="28"/>
    </w:rPr>
  </w:style>
  <w:style w:type="character" w:styleId="Strong">
    <w:name w:val="Strong"/>
    <w:uiPriority w:val="22"/>
    <w:qFormat/>
    <w:rsid w:val="00067D5A"/>
    <w:rPr>
      <w:b/>
      <w:bCs/>
      <w:color w:val="000000"/>
    </w:rPr>
  </w:style>
  <w:style w:type="character" w:customStyle="1" w:styleId="UnresolvedMention1">
    <w:name w:val="Unresolved Mention1"/>
    <w:uiPriority w:val="99"/>
    <w:rsid w:val="00630423"/>
    <w:rPr>
      <w:color w:val="605E5C"/>
      <w:shd w:val="clear" w:color="auto" w:fill="E1DFDD"/>
    </w:rPr>
  </w:style>
  <w:style w:type="character" w:customStyle="1" w:styleId="Heading1Char1">
    <w:name w:val="Heading 1 Char1"/>
    <w:uiPriority w:val="9"/>
    <w:rsid w:val="00630423"/>
    <w:rPr>
      <w:rFonts w:ascii="Cambria" w:eastAsia="Times New Roman" w:hAnsi="Cambria" w:cs="Times New Roman"/>
      <w:color w:val="365F91"/>
      <w:sz w:val="32"/>
      <w:szCs w:val="32"/>
    </w:rPr>
  </w:style>
  <w:style w:type="character" w:customStyle="1" w:styleId="Heading2Char1">
    <w:name w:val="Heading 2 Char1"/>
    <w:uiPriority w:val="9"/>
    <w:semiHidden/>
    <w:rsid w:val="00630423"/>
    <w:rPr>
      <w:rFonts w:ascii="Cambria" w:eastAsia="Times New Roman" w:hAnsi="Cambria" w:cs="Times New Roman"/>
      <w:color w:val="365F91"/>
      <w:sz w:val="26"/>
      <w:szCs w:val="26"/>
    </w:rPr>
  </w:style>
  <w:style w:type="character" w:customStyle="1" w:styleId="Heading4Char">
    <w:name w:val="Heading 4 Char"/>
    <w:link w:val="Heading4"/>
    <w:uiPriority w:val="9"/>
    <w:semiHidden/>
    <w:rsid w:val="00067D5A"/>
    <w:rPr>
      <w:rFonts w:ascii="Cambria" w:eastAsia="Times New Roman" w:hAnsi="Cambria" w:cs="Times New Roman"/>
      <w:b/>
      <w:bCs/>
      <w:i/>
      <w:iCs/>
      <w:color w:val="000000"/>
    </w:rPr>
  </w:style>
  <w:style w:type="character" w:customStyle="1" w:styleId="Heading5Char">
    <w:name w:val="Heading 5 Char"/>
    <w:link w:val="Heading5"/>
    <w:uiPriority w:val="9"/>
    <w:semiHidden/>
    <w:rsid w:val="00067D5A"/>
    <w:rPr>
      <w:rFonts w:ascii="Cambria" w:eastAsia="Times New Roman" w:hAnsi="Cambria" w:cs="Times New Roman"/>
      <w:color w:val="17365D"/>
    </w:rPr>
  </w:style>
  <w:style w:type="character" w:customStyle="1" w:styleId="Heading6Char">
    <w:name w:val="Heading 6 Char"/>
    <w:link w:val="Heading6"/>
    <w:uiPriority w:val="9"/>
    <w:semiHidden/>
    <w:rsid w:val="00067D5A"/>
    <w:rPr>
      <w:rFonts w:ascii="Cambria" w:eastAsia="Times New Roman" w:hAnsi="Cambria" w:cs="Times New Roman"/>
      <w:i/>
      <w:iCs/>
      <w:color w:val="17365D"/>
    </w:rPr>
  </w:style>
  <w:style w:type="character" w:customStyle="1" w:styleId="Heading7Char">
    <w:name w:val="Heading 7 Char"/>
    <w:link w:val="Heading7"/>
    <w:uiPriority w:val="9"/>
    <w:semiHidden/>
    <w:rsid w:val="00067D5A"/>
    <w:rPr>
      <w:rFonts w:ascii="Cambria" w:eastAsia="Times New Roman" w:hAnsi="Cambria" w:cs="Times New Roman"/>
      <w:i/>
      <w:iCs/>
      <w:color w:val="404040"/>
    </w:rPr>
  </w:style>
  <w:style w:type="character" w:customStyle="1" w:styleId="Heading8Char">
    <w:name w:val="Heading 8 Char"/>
    <w:link w:val="Heading8"/>
    <w:uiPriority w:val="9"/>
    <w:semiHidden/>
    <w:rsid w:val="00067D5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67D5A"/>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067D5A"/>
    <w:pPr>
      <w:spacing w:after="200" w:line="240" w:lineRule="auto"/>
    </w:pPr>
    <w:rPr>
      <w:i/>
      <w:iCs/>
      <w:color w:val="1F497D"/>
      <w:sz w:val="18"/>
      <w:szCs w:val="18"/>
    </w:rPr>
  </w:style>
  <w:style w:type="character" w:customStyle="1" w:styleId="TitleChar">
    <w:name w:val="Title Char"/>
    <w:link w:val="Title"/>
    <w:uiPriority w:val="10"/>
    <w:rsid w:val="00067D5A"/>
    <w:rPr>
      <w:rFonts w:ascii="Cambria" w:eastAsia="Times New Roman" w:hAnsi="Cambria" w:cs="Times New Roman"/>
      <w:color w:val="000000"/>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link w:val="Subtitle"/>
    <w:uiPriority w:val="11"/>
    <w:rsid w:val="00067D5A"/>
    <w:rPr>
      <w:color w:val="5A5A5A"/>
      <w:spacing w:val="10"/>
    </w:rPr>
  </w:style>
  <w:style w:type="paragraph" w:styleId="NoSpacing">
    <w:name w:val="No Spacing"/>
    <w:uiPriority w:val="1"/>
    <w:qFormat/>
    <w:rsid w:val="00067D5A"/>
    <w:rPr>
      <w:sz w:val="22"/>
      <w:szCs w:val="22"/>
      <w:lang w:val="en-US"/>
    </w:rPr>
  </w:style>
  <w:style w:type="paragraph" w:styleId="Quote">
    <w:name w:val="Quote"/>
    <w:basedOn w:val="Normal"/>
    <w:next w:val="Normal"/>
    <w:link w:val="QuoteChar"/>
    <w:uiPriority w:val="29"/>
    <w:qFormat/>
    <w:rsid w:val="00067D5A"/>
    <w:pPr>
      <w:spacing w:before="160"/>
      <w:ind w:left="720" w:right="720"/>
    </w:pPr>
    <w:rPr>
      <w:i/>
      <w:iCs/>
      <w:color w:val="000000"/>
    </w:rPr>
  </w:style>
  <w:style w:type="character" w:customStyle="1" w:styleId="QuoteChar">
    <w:name w:val="Quote Char"/>
    <w:link w:val="Quote"/>
    <w:uiPriority w:val="29"/>
    <w:rsid w:val="00067D5A"/>
    <w:rPr>
      <w:i/>
      <w:iCs/>
      <w:color w:val="000000"/>
    </w:rPr>
  </w:style>
  <w:style w:type="paragraph" w:styleId="IntenseQuote">
    <w:name w:val="Intense Quote"/>
    <w:basedOn w:val="Normal"/>
    <w:next w:val="Normal"/>
    <w:link w:val="IntenseQuoteChar"/>
    <w:uiPriority w:val="30"/>
    <w:qFormat/>
    <w:rsid w:val="00067D5A"/>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067D5A"/>
    <w:rPr>
      <w:color w:val="000000"/>
      <w:shd w:val="clear" w:color="auto" w:fill="F2F2F2"/>
    </w:rPr>
  </w:style>
  <w:style w:type="character" w:styleId="SubtleEmphasis">
    <w:name w:val="Subtle Emphasis"/>
    <w:uiPriority w:val="19"/>
    <w:qFormat/>
    <w:rsid w:val="00067D5A"/>
    <w:rPr>
      <w:i/>
      <w:iCs/>
      <w:color w:val="404040"/>
    </w:rPr>
  </w:style>
  <w:style w:type="character" w:styleId="IntenseEmphasis">
    <w:name w:val="Intense Emphasis"/>
    <w:uiPriority w:val="21"/>
    <w:qFormat/>
    <w:rsid w:val="00067D5A"/>
    <w:rPr>
      <w:b/>
      <w:bCs/>
      <w:i/>
      <w:iCs/>
      <w:caps/>
    </w:rPr>
  </w:style>
  <w:style w:type="character" w:styleId="SubtleReference">
    <w:name w:val="Subtle Reference"/>
    <w:uiPriority w:val="31"/>
    <w:qFormat/>
    <w:rsid w:val="00067D5A"/>
    <w:rPr>
      <w:smallCaps/>
      <w:color w:val="404040"/>
      <w:u w:val="single" w:color="7F7F7F"/>
    </w:rPr>
  </w:style>
  <w:style w:type="character" w:styleId="IntenseReference">
    <w:name w:val="Intense Reference"/>
    <w:uiPriority w:val="32"/>
    <w:qFormat/>
    <w:rsid w:val="00067D5A"/>
    <w:rPr>
      <w:b/>
      <w:bCs/>
      <w:smallCaps/>
      <w:u w:val="single"/>
    </w:rPr>
  </w:style>
  <w:style w:type="character" w:styleId="BookTitle">
    <w:name w:val="Book Title"/>
    <w:uiPriority w:val="33"/>
    <w:qFormat/>
    <w:rsid w:val="00067D5A"/>
    <w:rPr>
      <w:b w:val="0"/>
      <w:bCs w:val="0"/>
      <w:smallCaps/>
      <w:spacing w:val="5"/>
    </w:rPr>
  </w:style>
  <w:style w:type="paragraph" w:styleId="TOCHeading">
    <w:name w:val="TOC Heading"/>
    <w:basedOn w:val="Heading1"/>
    <w:next w:val="Normal"/>
    <w:uiPriority w:val="39"/>
    <w:semiHidden/>
    <w:unhideWhenUsed/>
    <w:qFormat/>
    <w:rsid w:val="00067D5A"/>
    <w:pPr>
      <w:outlineLvl w:val="9"/>
    </w:pPr>
  </w:style>
  <w:style w:type="table" w:customStyle="1" w:styleId="LightShading1">
    <w:name w:val="Light Shading1"/>
    <w:basedOn w:val="TableNormal"/>
    <w:next w:val="LightShading"/>
    <w:uiPriority w:val="60"/>
    <w:semiHidden/>
    <w:unhideWhenUsed/>
    <w:rsid w:val="00364889"/>
    <w:rPr>
      <w:rFonts w:eastAsia="MS Mincho" w:cs="Arial"/>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uiPriority w:val="99"/>
    <w:semiHidden/>
    <w:unhideWhenUsed/>
    <w:rsid w:val="00295E90"/>
    <w:rPr>
      <w:color w:val="605E5C"/>
      <w:shd w:val="clear" w:color="auto" w:fill="E1DFDD"/>
    </w:rPr>
  </w:style>
  <w:style w:type="table" w:customStyle="1" w:styleId="a">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export-sheets-button">
    <w:name w:val="export-sheets-button"/>
    <w:basedOn w:val="DefaultParagraphFont"/>
    <w:rsid w:val="00BC747F"/>
  </w:style>
  <w:style w:type="character" w:customStyle="1" w:styleId="cdk-visually-hidden">
    <w:name w:val="cdk-visually-hidden"/>
    <w:basedOn w:val="DefaultParagraphFont"/>
    <w:rsid w:val="00BC747F"/>
  </w:style>
  <w:style w:type="character" w:styleId="PlaceholderText">
    <w:name w:val="Placeholder Text"/>
    <w:basedOn w:val="DefaultParagraphFont"/>
    <w:uiPriority w:val="99"/>
    <w:semiHidden/>
    <w:rsid w:val="00646B6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82094">
      <w:bodyDiv w:val="1"/>
      <w:marLeft w:val="0"/>
      <w:marRight w:val="0"/>
      <w:marTop w:val="0"/>
      <w:marBottom w:val="0"/>
      <w:divBdr>
        <w:top w:val="none" w:sz="0" w:space="0" w:color="auto"/>
        <w:left w:val="none" w:sz="0" w:space="0" w:color="auto"/>
        <w:bottom w:val="none" w:sz="0" w:space="0" w:color="auto"/>
        <w:right w:val="none" w:sz="0" w:space="0" w:color="auto"/>
      </w:divBdr>
      <w:divsChild>
        <w:div w:id="670525357">
          <w:marLeft w:val="0"/>
          <w:marRight w:val="0"/>
          <w:marTop w:val="0"/>
          <w:marBottom w:val="0"/>
          <w:divBdr>
            <w:top w:val="none" w:sz="0" w:space="0" w:color="auto"/>
            <w:left w:val="none" w:sz="0" w:space="0" w:color="auto"/>
            <w:bottom w:val="none" w:sz="0" w:space="0" w:color="auto"/>
            <w:right w:val="none" w:sz="0" w:space="0" w:color="auto"/>
          </w:divBdr>
          <w:divsChild>
            <w:div w:id="1899245852">
              <w:marLeft w:val="0"/>
              <w:marRight w:val="0"/>
              <w:marTop w:val="0"/>
              <w:marBottom w:val="0"/>
              <w:divBdr>
                <w:top w:val="none" w:sz="0" w:space="0" w:color="auto"/>
                <w:left w:val="none" w:sz="0" w:space="0" w:color="auto"/>
                <w:bottom w:val="none" w:sz="0" w:space="0" w:color="auto"/>
                <w:right w:val="none" w:sz="0" w:space="0" w:color="auto"/>
              </w:divBdr>
              <w:divsChild>
                <w:div w:id="603805438">
                  <w:marLeft w:val="0"/>
                  <w:marRight w:val="0"/>
                  <w:marTop w:val="0"/>
                  <w:marBottom w:val="0"/>
                  <w:divBdr>
                    <w:top w:val="none" w:sz="0" w:space="0" w:color="auto"/>
                    <w:left w:val="none" w:sz="0" w:space="0" w:color="auto"/>
                    <w:bottom w:val="none" w:sz="0" w:space="0" w:color="auto"/>
                    <w:right w:val="none" w:sz="0" w:space="0" w:color="auto"/>
                  </w:divBdr>
                  <w:divsChild>
                    <w:div w:id="1344548206">
                      <w:marLeft w:val="0"/>
                      <w:marRight w:val="0"/>
                      <w:marTop w:val="0"/>
                      <w:marBottom w:val="0"/>
                      <w:divBdr>
                        <w:top w:val="none" w:sz="0" w:space="0" w:color="auto"/>
                        <w:left w:val="none" w:sz="0" w:space="0" w:color="auto"/>
                        <w:bottom w:val="none" w:sz="0" w:space="0" w:color="auto"/>
                        <w:right w:val="none" w:sz="0" w:space="0" w:color="auto"/>
                      </w:divBdr>
                    </w:div>
                    <w:div w:id="21009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34405">
      <w:bodyDiv w:val="1"/>
      <w:marLeft w:val="0"/>
      <w:marRight w:val="0"/>
      <w:marTop w:val="0"/>
      <w:marBottom w:val="0"/>
      <w:divBdr>
        <w:top w:val="none" w:sz="0" w:space="0" w:color="auto"/>
        <w:left w:val="none" w:sz="0" w:space="0" w:color="auto"/>
        <w:bottom w:val="none" w:sz="0" w:space="0" w:color="auto"/>
        <w:right w:val="none" w:sz="0" w:space="0" w:color="auto"/>
      </w:divBdr>
    </w:div>
    <w:div w:id="506094186">
      <w:bodyDiv w:val="1"/>
      <w:marLeft w:val="0"/>
      <w:marRight w:val="0"/>
      <w:marTop w:val="0"/>
      <w:marBottom w:val="0"/>
      <w:divBdr>
        <w:top w:val="none" w:sz="0" w:space="0" w:color="auto"/>
        <w:left w:val="none" w:sz="0" w:space="0" w:color="auto"/>
        <w:bottom w:val="none" w:sz="0" w:space="0" w:color="auto"/>
        <w:right w:val="none" w:sz="0" w:space="0" w:color="auto"/>
      </w:divBdr>
      <w:divsChild>
        <w:div w:id="1486626505">
          <w:marLeft w:val="0"/>
          <w:marRight w:val="0"/>
          <w:marTop w:val="0"/>
          <w:marBottom w:val="0"/>
          <w:divBdr>
            <w:top w:val="none" w:sz="0" w:space="0" w:color="auto"/>
            <w:left w:val="none" w:sz="0" w:space="0" w:color="auto"/>
            <w:bottom w:val="none" w:sz="0" w:space="0" w:color="auto"/>
            <w:right w:val="none" w:sz="0" w:space="0" w:color="auto"/>
          </w:divBdr>
          <w:divsChild>
            <w:div w:id="1415515993">
              <w:marLeft w:val="0"/>
              <w:marRight w:val="0"/>
              <w:marTop w:val="0"/>
              <w:marBottom w:val="0"/>
              <w:divBdr>
                <w:top w:val="none" w:sz="0" w:space="0" w:color="auto"/>
                <w:left w:val="none" w:sz="0" w:space="0" w:color="auto"/>
                <w:bottom w:val="none" w:sz="0" w:space="0" w:color="auto"/>
                <w:right w:val="none" w:sz="0" w:space="0" w:color="auto"/>
              </w:divBdr>
              <w:divsChild>
                <w:div w:id="1650357922">
                  <w:marLeft w:val="0"/>
                  <w:marRight w:val="0"/>
                  <w:marTop w:val="0"/>
                  <w:marBottom w:val="0"/>
                  <w:divBdr>
                    <w:top w:val="none" w:sz="0" w:space="0" w:color="auto"/>
                    <w:left w:val="none" w:sz="0" w:space="0" w:color="auto"/>
                    <w:bottom w:val="none" w:sz="0" w:space="0" w:color="auto"/>
                    <w:right w:val="none" w:sz="0" w:space="0" w:color="auto"/>
                  </w:divBdr>
                  <w:divsChild>
                    <w:div w:id="2114126981">
                      <w:marLeft w:val="0"/>
                      <w:marRight w:val="0"/>
                      <w:marTop w:val="0"/>
                      <w:marBottom w:val="0"/>
                      <w:divBdr>
                        <w:top w:val="none" w:sz="0" w:space="0" w:color="auto"/>
                        <w:left w:val="none" w:sz="0" w:space="0" w:color="auto"/>
                        <w:bottom w:val="none" w:sz="0" w:space="0" w:color="auto"/>
                        <w:right w:val="none" w:sz="0" w:space="0" w:color="auto"/>
                      </w:divBdr>
                    </w:div>
                    <w:div w:id="1845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00462">
      <w:bodyDiv w:val="1"/>
      <w:marLeft w:val="0"/>
      <w:marRight w:val="0"/>
      <w:marTop w:val="0"/>
      <w:marBottom w:val="0"/>
      <w:divBdr>
        <w:top w:val="none" w:sz="0" w:space="0" w:color="auto"/>
        <w:left w:val="none" w:sz="0" w:space="0" w:color="auto"/>
        <w:bottom w:val="none" w:sz="0" w:space="0" w:color="auto"/>
        <w:right w:val="none" w:sz="0" w:space="0" w:color="auto"/>
      </w:divBdr>
      <w:divsChild>
        <w:div w:id="2007632731">
          <w:marLeft w:val="0"/>
          <w:marRight w:val="0"/>
          <w:marTop w:val="0"/>
          <w:marBottom w:val="0"/>
          <w:divBdr>
            <w:top w:val="none" w:sz="0" w:space="0" w:color="auto"/>
            <w:left w:val="none" w:sz="0" w:space="0" w:color="auto"/>
            <w:bottom w:val="none" w:sz="0" w:space="0" w:color="auto"/>
            <w:right w:val="none" w:sz="0" w:space="0" w:color="auto"/>
          </w:divBdr>
          <w:divsChild>
            <w:div w:id="1351759519">
              <w:marLeft w:val="0"/>
              <w:marRight w:val="0"/>
              <w:marTop w:val="0"/>
              <w:marBottom w:val="0"/>
              <w:divBdr>
                <w:top w:val="none" w:sz="0" w:space="0" w:color="auto"/>
                <w:left w:val="none" w:sz="0" w:space="0" w:color="auto"/>
                <w:bottom w:val="none" w:sz="0" w:space="0" w:color="auto"/>
                <w:right w:val="none" w:sz="0" w:space="0" w:color="auto"/>
              </w:divBdr>
              <w:divsChild>
                <w:div w:id="378477569">
                  <w:marLeft w:val="0"/>
                  <w:marRight w:val="0"/>
                  <w:marTop w:val="0"/>
                  <w:marBottom w:val="0"/>
                  <w:divBdr>
                    <w:top w:val="none" w:sz="0" w:space="0" w:color="auto"/>
                    <w:left w:val="none" w:sz="0" w:space="0" w:color="auto"/>
                    <w:bottom w:val="none" w:sz="0" w:space="0" w:color="auto"/>
                    <w:right w:val="none" w:sz="0" w:space="0" w:color="auto"/>
                  </w:divBdr>
                  <w:divsChild>
                    <w:div w:id="1830512171">
                      <w:marLeft w:val="0"/>
                      <w:marRight w:val="0"/>
                      <w:marTop w:val="0"/>
                      <w:marBottom w:val="0"/>
                      <w:divBdr>
                        <w:top w:val="none" w:sz="0" w:space="0" w:color="auto"/>
                        <w:left w:val="none" w:sz="0" w:space="0" w:color="auto"/>
                        <w:bottom w:val="none" w:sz="0" w:space="0" w:color="auto"/>
                        <w:right w:val="none" w:sz="0" w:space="0" w:color="auto"/>
                      </w:divBdr>
                    </w:div>
                    <w:div w:id="5209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025314">
      <w:bodyDiv w:val="1"/>
      <w:marLeft w:val="0"/>
      <w:marRight w:val="0"/>
      <w:marTop w:val="0"/>
      <w:marBottom w:val="0"/>
      <w:divBdr>
        <w:top w:val="none" w:sz="0" w:space="0" w:color="auto"/>
        <w:left w:val="none" w:sz="0" w:space="0" w:color="auto"/>
        <w:bottom w:val="none" w:sz="0" w:space="0" w:color="auto"/>
        <w:right w:val="none" w:sz="0" w:space="0" w:color="auto"/>
      </w:divBdr>
      <w:divsChild>
        <w:div w:id="1448154925">
          <w:marLeft w:val="0"/>
          <w:marRight w:val="0"/>
          <w:marTop w:val="0"/>
          <w:marBottom w:val="0"/>
          <w:divBdr>
            <w:top w:val="none" w:sz="0" w:space="0" w:color="auto"/>
            <w:left w:val="none" w:sz="0" w:space="0" w:color="auto"/>
            <w:bottom w:val="none" w:sz="0" w:space="0" w:color="auto"/>
            <w:right w:val="none" w:sz="0" w:space="0" w:color="auto"/>
          </w:divBdr>
          <w:divsChild>
            <w:div w:id="112746371">
              <w:marLeft w:val="0"/>
              <w:marRight w:val="0"/>
              <w:marTop w:val="0"/>
              <w:marBottom w:val="0"/>
              <w:divBdr>
                <w:top w:val="none" w:sz="0" w:space="0" w:color="auto"/>
                <w:left w:val="none" w:sz="0" w:space="0" w:color="auto"/>
                <w:bottom w:val="none" w:sz="0" w:space="0" w:color="auto"/>
                <w:right w:val="none" w:sz="0" w:space="0" w:color="auto"/>
              </w:divBdr>
              <w:divsChild>
                <w:div w:id="2055808760">
                  <w:marLeft w:val="0"/>
                  <w:marRight w:val="0"/>
                  <w:marTop w:val="0"/>
                  <w:marBottom w:val="0"/>
                  <w:divBdr>
                    <w:top w:val="none" w:sz="0" w:space="0" w:color="auto"/>
                    <w:left w:val="none" w:sz="0" w:space="0" w:color="auto"/>
                    <w:bottom w:val="none" w:sz="0" w:space="0" w:color="auto"/>
                    <w:right w:val="none" w:sz="0" w:space="0" w:color="auto"/>
                  </w:divBdr>
                  <w:divsChild>
                    <w:div w:id="1718235732">
                      <w:marLeft w:val="0"/>
                      <w:marRight w:val="0"/>
                      <w:marTop w:val="0"/>
                      <w:marBottom w:val="0"/>
                      <w:divBdr>
                        <w:top w:val="none" w:sz="0" w:space="0" w:color="auto"/>
                        <w:left w:val="none" w:sz="0" w:space="0" w:color="auto"/>
                        <w:bottom w:val="none" w:sz="0" w:space="0" w:color="auto"/>
                        <w:right w:val="none" w:sz="0" w:space="0" w:color="auto"/>
                      </w:divBdr>
                    </w:div>
                    <w:div w:id="13896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61952">
      <w:bodyDiv w:val="1"/>
      <w:marLeft w:val="0"/>
      <w:marRight w:val="0"/>
      <w:marTop w:val="0"/>
      <w:marBottom w:val="0"/>
      <w:divBdr>
        <w:top w:val="none" w:sz="0" w:space="0" w:color="auto"/>
        <w:left w:val="none" w:sz="0" w:space="0" w:color="auto"/>
        <w:bottom w:val="none" w:sz="0" w:space="0" w:color="auto"/>
        <w:right w:val="none" w:sz="0" w:space="0" w:color="auto"/>
      </w:divBdr>
      <w:divsChild>
        <w:div w:id="337007943">
          <w:marLeft w:val="0"/>
          <w:marRight w:val="0"/>
          <w:marTop w:val="0"/>
          <w:marBottom w:val="0"/>
          <w:divBdr>
            <w:top w:val="none" w:sz="0" w:space="0" w:color="auto"/>
            <w:left w:val="none" w:sz="0" w:space="0" w:color="auto"/>
            <w:bottom w:val="none" w:sz="0" w:space="0" w:color="auto"/>
            <w:right w:val="none" w:sz="0" w:space="0" w:color="auto"/>
          </w:divBdr>
          <w:divsChild>
            <w:div w:id="441649850">
              <w:marLeft w:val="0"/>
              <w:marRight w:val="0"/>
              <w:marTop w:val="0"/>
              <w:marBottom w:val="0"/>
              <w:divBdr>
                <w:top w:val="none" w:sz="0" w:space="0" w:color="auto"/>
                <w:left w:val="none" w:sz="0" w:space="0" w:color="auto"/>
                <w:bottom w:val="none" w:sz="0" w:space="0" w:color="auto"/>
                <w:right w:val="none" w:sz="0" w:space="0" w:color="auto"/>
              </w:divBdr>
              <w:divsChild>
                <w:div w:id="129982024">
                  <w:marLeft w:val="0"/>
                  <w:marRight w:val="0"/>
                  <w:marTop w:val="0"/>
                  <w:marBottom w:val="0"/>
                  <w:divBdr>
                    <w:top w:val="none" w:sz="0" w:space="0" w:color="auto"/>
                    <w:left w:val="none" w:sz="0" w:space="0" w:color="auto"/>
                    <w:bottom w:val="none" w:sz="0" w:space="0" w:color="auto"/>
                    <w:right w:val="none" w:sz="0" w:space="0" w:color="auto"/>
                  </w:divBdr>
                  <w:divsChild>
                    <w:div w:id="1275675495">
                      <w:marLeft w:val="0"/>
                      <w:marRight w:val="0"/>
                      <w:marTop w:val="0"/>
                      <w:marBottom w:val="0"/>
                      <w:divBdr>
                        <w:top w:val="none" w:sz="0" w:space="0" w:color="auto"/>
                        <w:left w:val="none" w:sz="0" w:space="0" w:color="auto"/>
                        <w:bottom w:val="none" w:sz="0" w:space="0" w:color="auto"/>
                        <w:right w:val="none" w:sz="0" w:space="0" w:color="auto"/>
                      </w:divBdr>
                    </w:div>
                    <w:div w:id="18959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722987">
      <w:bodyDiv w:val="1"/>
      <w:marLeft w:val="0"/>
      <w:marRight w:val="0"/>
      <w:marTop w:val="0"/>
      <w:marBottom w:val="0"/>
      <w:divBdr>
        <w:top w:val="none" w:sz="0" w:space="0" w:color="auto"/>
        <w:left w:val="none" w:sz="0" w:space="0" w:color="auto"/>
        <w:bottom w:val="none" w:sz="0" w:space="0" w:color="auto"/>
        <w:right w:val="none" w:sz="0" w:space="0" w:color="auto"/>
      </w:divBdr>
    </w:div>
    <w:div w:id="685332146">
      <w:bodyDiv w:val="1"/>
      <w:marLeft w:val="0"/>
      <w:marRight w:val="0"/>
      <w:marTop w:val="0"/>
      <w:marBottom w:val="0"/>
      <w:divBdr>
        <w:top w:val="none" w:sz="0" w:space="0" w:color="auto"/>
        <w:left w:val="none" w:sz="0" w:space="0" w:color="auto"/>
        <w:bottom w:val="none" w:sz="0" w:space="0" w:color="auto"/>
        <w:right w:val="none" w:sz="0" w:space="0" w:color="auto"/>
      </w:divBdr>
      <w:divsChild>
        <w:div w:id="633098794">
          <w:marLeft w:val="0"/>
          <w:marRight w:val="0"/>
          <w:marTop w:val="0"/>
          <w:marBottom w:val="0"/>
          <w:divBdr>
            <w:top w:val="none" w:sz="0" w:space="0" w:color="auto"/>
            <w:left w:val="none" w:sz="0" w:space="0" w:color="auto"/>
            <w:bottom w:val="none" w:sz="0" w:space="0" w:color="auto"/>
            <w:right w:val="none" w:sz="0" w:space="0" w:color="auto"/>
          </w:divBdr>
          <w:divsChild>
            <w:div w:id="2064791647">
              <w:marLeft w:val="0"/>
              <w:marRight w:val="0"/>
              <w:marTop w:val="0"/>
              <w:marBottom w:val="0"/>
              <w:divBdr>
                <w:top w:val="none" w:sz="0" w:space="0" w:color="auto"/>
                <w:left w:val="none" w:sz="0" w:space="0" w:color="auto"/>
                <w:bottom w:val="none" w:sz="0" w:space="0" w:color="auto"/>
                <w:right w:val="none" w:sz="0" w:space="0" w:color="auto"/>
              </w:divBdr>
              <w:divsChild>
                <w:div w:id="1067147511">
                  <w:marLeft w:val="0"/>
                  <w:marRight w:val="0"/>
                  <w:marTop w:val="0"/>
                  <w:marBottom w:val="0"/>
                  <w:divBdr>
                    <w:top w:val="none" w:sz="0" w:space="0" w:color="auto"/>
                    <w:left w:val="none" w:sz="0" w:space="0" w:color="auto"/>
                    <w:bottom w:val="none" w:sz="0" w:space="0" w:color="auto"/>
                    <w:right w:val="none" w:sz="0" w:space="0" w:color="auto"/>
                  </w:divBdr>
                  <w:divsChild>
                    <w:div w:id="420836103">
                      <w:marLeft w:val="0"/>
                      <w:marRight w:val="0"/>
                      <w:marTop w:val="0"/>
                      <w:marBottom w:val="0"/>
                      <w:divBdr>
                        <w:top w:val="none" w:sz="0" w:space="0" w:color="auto"/>
                        <w:left w:val="none" w:sz="0" w:space="0" w:color="auto"/>
                        <w:bottom w:val="none" w:sz="0" w:space="0" w:color="auto"/>
                        <w:right w:val="none" w:sz="0" w:space="0" w:color="auto"/>
                      </w:divBdr>
                    </w:div>
                    <w:div w:id="18036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6744">
      <w:bodyDiv w:val="1"/>
      <w:marLeft w:val="0"/>
      <w:marRight w:val="0"/>
      <w:marTop w:val="0"/>
      <w:marBottom w:val="0"/>
      <w:divBdr>
        <w:top w:val="none" w:sz="0" w:space="0" w:color="auto"/>
        <w:left w:val="none" w:sz="0" w:space="0" w:color="auto"/>
        <w:bottom w:val="none" w:sz="0" w:space="0" w:color="auto"/>
        <w:right w:val="none" w:sz="0" w:space="0" w:color="auto"/>
      </w:divBdr>
      <w:divsChild>
        <w:div w:id="1288703742">
          <w:marLeft w:val="0"/>
          <w:marRight w:val="0"/>
          <w:marTop w:val="0"/>
          <w:marBottom w:val="0"/>
          <w:divBdr>
            <w:top w:val="none" w:sz="0" w:space="0" w:color="auto"/>
            <w:left w:val="none" w:sz="0" w:space="0" w:color="auto"/>
            <w:bottom w:val="none" w:sz="0" w:space="0" w:color="auto"/>
            <w:right w:val="none" w:sz="0" w:space="0" w:color="auto"/>
          </w:divBdr>
          <w:divsChild>
            <w:div w:id="2124231669">
              <w:marLeft w:val="0"/>
              <w:marRight w:val="0"/>
              <w:marTop w:val="0"/>
              <w:marBottom w:val="0"/>
              <w:divBdr>
                <w:top w:val="none" w:sz="0" w:space="0" w:color="auto"/>
                <w:left w:val="none" w:sz="0" w:space="0" w:color="auto"/>
                <w:bottom w:val="none" w:sz="0" w:space="0" w:color="auto"/>
                <w:right w:val="none" w:sz="0" w:space="0" w:color="auto"/>
              </w:divBdr>
              <w:divsChild>
                <w:div w:id="1104108347">
                  <w:marLeft w:val="0"/>
                  <w:marRight w:val="0"/>
                  <w:marTop w:val="0"/>
                  <w:marBottom w:val="0"/>
                  <w:divBdr>
                    <w:top w:val="none" w:sz="0" w:space="0" w:color="auto"/>
                    <w:left w:val="none" w:sz="0" w:space="0" w:color="auto"/>
                    <w:bottom w:val="none" w:sz="0" w:space="0" w:color="auto"/>
                    <w:right w:val="none" w:sz="0" w:space="0" w:color="auto"/>
                  </w:divBdr>
                  <w:divsChild>
                    <w:div w:id="1461723304">
                      <w:marLeft w:val="0"/>
                      <w:marRight w:val="0"/>
                      <w:marTop w:val="0"/>
                      <w:marBottom w:val="0"/>
                      <w:divBdr>
                        <w:top w:val="none" w:sz="0" w:space="0" w:color="auto"/>
                        <w:left w:val="none" w:sz="0" w:space="0" w:color="auto"/>
                        <w:bottom w:val="none" w:sz="0" w:space="0" w:color="auto"/>
                        <w:right w:val="none" w:sz="0" w:space="0" w:color="auto"/>
                      </w:divBdr>
                    </w:div>
                    <w:div w:id="1722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22092">
      <w:bodyDiv w:val="1"/>
      <w:marLeft w:val="0"/>
      <w:marRight w:val="0"/>
      <w:marTop w:val="0"/>
      <w:marBottom w:val="0"/>
      <w:divBdr>
        <w:top w:val="none" w:sz="0" w:space="0" w:color="auto"/>
        <w:left w:val="none" w:sz="0" w:space="0" w:color="auto"/>
        <w:bottom w:val="none" w:sz="0" w:space="0" w:color="auto"/>
        <w:right w:val="none" w:sz="0" w:space="0" w:color="auto"/>
      </w:divBdr>
      <w:divsChild>
        <w:div w:id="1151210646">
          <w:marLeft w:val="0"/>
          <w:marRight w:val="0"/>
          <w:marTop w:val="0"/>
          <w:marBottom w:val="0"/>
          <w:divBdr>
            <w:top w:val="none" w:sz="0" w:space="0" w:color="auto"/>
            <w:left w:val="none" w:sz="0" w:space="0" w:color="auto"/>
            <w:bottom w:val="none" w:sz="0" w:space="0" w:color="auto"/>
            <w:right w:val="none" w:sz="0" w:space="0" w:color="auto"/>
          </w:divBdr>
          <w:divsChild>
            <w:div w:id="218324924">
              <w:marLeft w:val="0"/>
              <w:marRight w:val="0"/>
              <w:marTop w:val="0"/>
              <w:marBottom w:val="0"/>
              <w:divBdr>
                <w:top w:val="none" w:sz="0" w:space="0" w:color="auto"/>
                <w:left w:val="none" w:sz="0" w:space="0" w:color="auto"/>
                <w:bottom w:val="none" w:sz="0" w:space="0" w:color="auto"/>
                <w:right w:val="none" w:sz="0" w:space="0" w:color="auto"/>
              </w:divBdr>
              <w:divsChild>
                <w:div w:id="920527775">
                  <w:marLeft w:val="0"/>
                  <w:marRight w:val="0"/>
                  <w:marTop w:val="0"/>
                  <w:marBottom w:val="0"/>
                  <w:divBdr>
                    <w:top w:val="none" w:sz="0" w:space="0" w:color="auto"/>
                    <w:left w:val="none" w:sz="0" w:space="0" w:color="auto"/>
                    <w:bottom w:val="none" w:sz="0" w:space="0" w:color="auto"/>
                    <w:right w:val="none" w:sz="0" w:space="0" w:color="auto"/>
                  </w:divBdr>
                  <w:divsChild>
                    <w:div w:id="163202649">
                      <w:marLeft w:val="0"/>
                      <w:marRight w:val="0"/>
                      <w:marTop w:val="0"/>
                      <w:marBottom w:val="0"/>
                      <w:divBdr>
                        <w:top w:val="none" w:sz="0" w:space="0" w:color="auto"/>
                        <w:left w:val="none" w:sz="0" w:space="0" w:color="auto"/>
                        <w:bottom w:val="none" w:sz="0" w:space="0" w:color="auto"/>
                        <w:right w:val="none" w:sz="0" w:space="0" w:color="auto"/>
                      </w:divBdr>
                    </w:div>
                    <w:div w:id="1622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10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5839">
          <w:marLeft w:val="480"/>
          <w:marRight w:val="0"/>
          <w:marTop w:val="0"/>
          <w:marBottom w:val="0"/>
          <w:divBdr>
            <w:top w:val="none" w:sz="0" w:space="0" w:color="auto"/>
            <w:left w:val="none" w:sz="0" w:space="0" w:color="auto"/>
            <w:bottom w:val="none" w:sz="0" w:space="0" w:color="auto"/>
            <w:right w:val="none" w:sz="0" w:space="0" w:color="auto"/>
          </w:divBdr>
          <w:divsChild>
            <w:div w:id="1519807809">
              <w:marLeft w:val="0"/>
              <w:marRight w:val="0"/>
              <w:marTop w:val="0"/>
              <w:marBottom w:val="0"/>
              <w:divBdr>
                <w:top w:val="none" w:sz="0" w:space="0" w:color="auto"/>
                <w:left w:val="none" w:sz="0" w:space="0" w:color="auto"/>
                <w:bottom w:val="none" w:sz="0" w:space="0" w:color="auto"/>
                <w:right w:val="none" w:sz="0" w:space="0" w:color="auto"/>
              </w:divBdr>
            </w:div>
            <w:div w:id="1413432364">
              <w:marLeft w:val="0"/>
              <w:marRight w:val="0"/>
              <w:marTop w:val="0"/>
              <w:marBottom w:val="0"/>
              <w:divBdr>
                <w:top w:val="none" w:sz="0" w:space="0" w:color="auto"/>
                <w:left w:val="none" w:sz="0" w:space="0" w:color="auto"/>
                <w:bottom w:val="none" w:sz="0" w:space="0" w:color="auto"/>
                <w:right w:val="none" w:sz="0" w:space="0" w:color="auto"/>
              </w:divBdr>
            </w:div>
          </w:divsChild>
        </w:div>
        <w:div w:id="764150597">
          <w:marLeft w:val="480"/>
          <w:marRight w:val="0"/>
          <w:marTop w:val="0"/>
          <w:marBottom w:val="0"/>
          <w:divBdr>
            <w:top w:val="none" w:sz="0" w:space="0" w:color="auto"/>
            <w:left w:val="none" w:sz="0" w:space="0" w:color="auto"/>
            <w:bottom w:val="none" w:sz="0" w:space="0" w:color="auto"/>
            <w:right w:val="none" w:sz="0" w:space="0" w:color="auto"/>
          </w:divBdr>
        </w:div>
        <w:div w:id="771164658">
          <w:marLeft w:val="480"/>
          <w:marRight w:val="0"/>
          <w:marTop w:val="0"/>
          <w:marBottom w:val="0"/>
          <w:divBdr>
            <w:top w:val="none" w:sz="0" w:space="0" w:color="auto"/>
            <w:left w:val="none" w:sz="0" w:space="0" w:color="auto"/>
            <w:bottom w:val="none" w:sz="0" w:space="0" w:color="auto"/>
            <w:right w:val="none" w:sz="0" w:space="0" w:color="auto"/>
          </w:divBdr>
        </w:div>
        <w:div w:id="819149006">
          <w:marLeft w:val="480"/>
          <w:marRight w:val="0"/>
          <w:marTop w:val="0"/>
          <w:marBottom w:val="0"/>
          <w:divBdr>
            <w:top w:val="none" w:sz="0" w:space="0" w:color="auto"/>
            <w:left w:val="none" w:sz="0" w:space="0" w:color="auto"/>
            <w:bottom w:val="none" w:sz="0" w:space="0" w:color="auto"/>
            <w:right w:val="none" w:sz="0" w:space="0" w:color="auto"/>
          </w:divBdr>
        </w:div>
        <w:div w:id="1623342398">
          <w:marLeft w:val="480"/>
          <w:marRight w:val="0"/>
          <w:marTop w:val="0"/>
          <w:marBottom w:val="0"/>
          <w:divBdr>
            <w:top w:val="none" w:sz="0" w:space="0" w:color="auto"/>
            <w:left w:val="none" w:sz="0" w:space="0" w:color="auto"/>
            <w:bottom w:val="none" w:sz="0" w:space="0" w:color="auto"/>
            <w:right w:val="none" w:sz="0" w:space="0" w:color="auto"/>
          </w:divBdr>
        </w:div>
      </w:divsChild>
    </w:div>
    <w:div w:id="1569220754">
      <w:bodyDiv w:val="1"/>
      <w:marLeft w:val="0"/>
      <w:marRight w:val="0"/>
      <w:marTop w:val="0"/>
      <w:marBottom w:val="0"/>
      <w:divBdr>
        <w:top w:val="none" w:sz="0" w:space="0" w:color="auto"/>
        <w:left w:val="none" w:sz="0" w:space="0" w:color="auto"/>
        <w:bottom w:val="none" w:sz="0" w:space="0" w:color="auto"/>
        <w:right w:val="none" w:sz="0" w:space="0" w:color="auto"/>
      </w:divBdr>
      <w:divsChild>
        <w:div w:id="868294894">
          <w:marLeft w:val="0"/>
          <w:marRight w:val="0"/>
          <w:marTop w:val="0"/>
          <w:marBottom w:val="0"/>
          <w:divBdr>
            <w:top w:val="none" w:sz="0" w:space="0" w:color="auto"/>
            <w:left w:val="none" w:sz="0" w:space="0" w:color="auto"/>
            <w:bottom w:val="none" w:sz="0" w:space="0" w:color="auto"/>
            <w:right w:val="none" w:sz="0" w:space="0" w:color="auto"/>
          </w:divBdr>
          <w:divsChild>
            <w:div w:id="679237850">
              <w:marLeft w:val="0"/>
              <w:marRight w:val="0"/>
              <w:marTop w:val="0"/>
              <w:marBottom w:val="0"/>
              <w:divBdr>
                <w:top w:val="none" w:sz="0" w:space="0" w:color="auto"/>
                <w:left w:val="none" w:sz="0" w:space="0" w:color="auto"/>
                <w:bottom w:val="none" w:sz="0" w:space="0" w:color="auto"/>
                <w:right w:val="none" w:sz="0" w:space="0" w:color="auto"/>
              </w:divBdr>
              <w:divsChild>
                <w:div w:id="259720907">
                  <w:marLeft w:val="0"/>
                  <w:marRight w:val="0"/>
                  <w:marTop w:val="0"/>
                  <w:marBottom w:val="0"/>
                  <w:divBdr>
                    <w:top w:val="none" w:sz="0" w:space="0" w:color="auto"/>
                    <w:left w:val="none" w:sz="0" w:space="0" w:color="auto"/>
                    <w:bottom w:val="none" w:sz="0" w:space="0" w:color="auto"/>
                    <w:right w:val="none" w:sz="0" w:space="0" w:color="auto"/>
                  </w:divBdr>
                  <w:divsChild>
                    <w:div w:id="8449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11817">
      <w:bodyDiv w:val="1"/>
      <w:marLeft w:val="0"/>
      <w:marRight w:val="0"/>
      <w:marTop w:val="0"/>
      <w:marBottom w:val="0"/>
      <w:divBdr>
        <w:top w:val="none" w:sz="0" w:space="0" w:color="auto"/>
        <w:left w:val="none" w:sz="0" w:space="0" w:color="auto"/>
        <w:bottom w:val="none" w:sz="0" w:space="0" w:color="auto"/>
        <w:right w:val="none" w:sz="0" w:space="0" w:color="auto"/>
      </w:divBdr>
    </w:div>
    <w:div w:id="1918633336">
      <w:bodyDiv w:val="1"/>
      <w:marLeft w:val="0"/>
      <w:marRight w:val="0"/>
      <w:marTop w:val="0"/>
      <w:marBottom w:val="0"/>
      <w:divBdr>
        <w:top w:val="none" w:sz="0" w:space="0" w:color="auto"/>
        <w:left w:val="none" w:sz="0" w:space="0" w:color="auto"/>
        <w:bottom w:val="none" w:sz="0" w:space="0" w:color="auto"/>
        <w:right w:val="none" w:sz="0" w:space="0" w:color="auto"/>
      </w:divBdr>
      <w:divsChild>
        <w:div w:id="514223085">
          <w:marLeft w:val="0"/>
          <w:marRight w:val="0"/>
          <w:marTop w:val="0"/>
          <w:marBottom w:val="0"/>
          <w:divBdr>
            <w:top w:val="none" w:sz="0" w:space="0" w:color="auto"/>
            <w:left w:val="none" w:sz="0" w:space="0" w:color="auto"/>
            <w:bottom w:val="none" w:sz="0" w:space="0" w:color="auto"/>
            <w:right w:val="none" w:sz="0" w:space="0" w:color="auto"/>
          </w:divBdr>
          <w:divsChild>
            <w:div w:id="389302451">
              <w:marLeft w:val="0"/>
              <w:marRight w:val="0"/>
              <w:marTop w:val="0"/>
              <w:marBottom w:val="0"/>
              <w:divBdr>
                <w:top w:val="none" w:sz="0" w:space="0" w:color="auto"/>
                <w:left w:val="none" w:sz="0" w:space="0" w:color="auto"/>
                <w:bottom w:val="none" w:sz="0" w:space="0" w:color="auto"/>
                <w:right w:val="none" w:sz="0" w:space="0" w:color="auto"/>
              </w:divBdr>
              <w:divsChild>
                <w:div w:id="1898200926">
                  <w:marLeft w:val="0"/>
                  <w:marRight w:val="0"/>
                  <w:marTop w:val="0"/>
                  <w:marBottom w:val="0"/>
                  <w:divBdr>
                    <w:top w:val="none" w:sz="0" w:space="0" w:color="auto"/>
                    <w:left w:val="none" w:sz="0" w:space="0" w:color="auto"/>
                    <w:bottom w:val="none" w:sz="0" w:space="0" w:color="auto"/>
                    <w:right w:val="none" w:sz="0" w:space="0" w:color="auto"/>
                  </w:divBdr>
                  <w:divsChild>
                    <w:div w:id="455758553">
                      <w:marLeft w:val="0"/>
                      <w:marRight w:val="0"/>
                      <w:marTop w:val="0"/>
                      <w:marBottom w:val="0"/>
                      <w:divBdr>
                        <w:top w:val="none" w:sz="0" w:space="0" w:color="auto"/>
                        <w:left w:val="none" w:sz="0" w:space="0" w:color="auto"/>
                        <w:bottom w:val="none" w:sz="0" w:space="0" w:color="auto"/>
                        <w:right w:val="none" w:sz="0" w:space="0" w:color="auto"/>
                      </w:divBdr>
                      <w:divsChild>
                        <w:div w:id="1564828329">
                          <w:marLeft w:val="0"/>
                          <w:marRight w:val="0"/>
                          <w:marTop w:val="0"/>
                          <w:marBottom w:val="0"/>
                          <w:divBdr>
                            <w:top w:val="none" w:sz="0" w:space="0" w:color="auto"/>
                            <w:left w:val="none" w:sz="0" w:space="0" w:color="auto"/>
                            <w:bottom w:val="none" w:sz="0" w:space="0" w:color="auto"/>
                            <w:right w:val="none" w:sz="0" w:space="0" w:color="auto"/>
                          </w:divBdr>
                          <w:divsChild>
                            <w:div w:id="387804323">
                              <w:marLeft w:val="0"/>
                              <w:marRight w:val="0"/>
                              <w:marTop w:val="0"/>
                              <w:marBottom w:val="0"/>
                              <w:divBdr>
                                <w:top w:val="none" w:sz="0" w:space="0" w:color="auto"/>
                                <w:left w:val="none" w:sz="0" w:space="0" w:color="auto"/>
                                <w:bottom w:val="none" w:sz="0" w:space="0" w:color="auto"/>
                                <w:right w:val="none" w:sz="0" w:space="0" w:color="auto"/>
                              </w:divBdr>
                              <w:divsChild>
                                <w:div w:id="1561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17486">
          <w:marLeft w:val="0"/>
          <w:marRight w:val="0"/>
          <w:marTop w:val="0"/>
          <w:marBottom w:val="0"/>
          <w:divBdr>
            <w:top w:val="none" w:sz="0" w:space="0" w:color="auto"/>
            <w:left w:val="none" w:sz="0" w:space="0" w:color="auto"/>
            <w:bottom w:val="none" w:sz="0" w:space="0" w:color="auto"/>
            <w:right w:val="none" w:sz="0" w:space="0" w:color="auto"/>
          </w:divBdr>
          <w:divsChild>
            <w:div w:id="1640497509">
              <w:marLeft w:val="0"/>
              <w:marRight w:val="0"/>
              <w:marTop w:val="0"/>
              <w:marBottom w:val="0"/>
              <w:divBdr>
                <w:top w:val="none" w:sz="0" w:space="0" w:color="auto"/>
                <w:left w:val="none" w:sz="0" w:space="0" w:color="auto"/>
                <w:bottom w:val="none" w:sz="0" w:space="0" w:color="auto"/>
                <w:right w:val="none" w:sz="0" w:space="0" w:color="auto"/>
              </w:divBdr>
              <w:divsChild>
                <w:div w:id="1390498864">
                  <w:marLeft w:val="0"/>
                  <w:marRight w:val="0"/>
                  <w:marTop w:val="0"/>
                  <w:marBottom w:val="0"/>
                  <w:divBdr>
                    <w:top w:val="none" w:sz="0" w:space="0" w:color="auto"/>
                    <w:left w:val="none" w:sz="0" w:space="0" w:color="auto"/>
                    <w:bottom w:val="none" w:sz="0" w:space="0" w:color="auto"/>
                    <w:right w:val="none" w:sz="0" w:space="0" w:color="auto"/>
                  </w:divBdr>
                  <w:divsChild>
                    <w:div w:id="1672247994">
                      <w:marLeft w:val="0"/>
                      <w:marRight w:val="0"/>
                      <w:marTop w:val="0"/>
                      <w:marBottom w:val="0"/>
                      <w:divBdr>
                        <w:top w:val="none" w:sz="0" w:space="0" w:color="auto"/>
                        <w:left w:val="none" w:sz="0" w:space="0" w:color="auto"/>
                        <w:bottom w:val="none" w:sz="0" w:space="0" w:color="auto"/>
                        <w:right w:val="none" w:sz="0" w:space="0" w:color="auto"/>
                      </w:divBdr>
                      <w:divsChild>
                        <w:div w:id="273246048">
                          <w:marLeft w:val="0"/>
                          <w:marRight w:val="0"/>
                          <w:marTop w:val="0"/>
                          <w:marBottom w:val="0"/>
                          <w:divBdr>
                            <w:top w:val="none" w:sz="0" w:space="0" w:color="auto"/>
                            <w:left w:val="none" w:sz="0" w:space="0" w:color="auto"/>
                            <w:bottom w:val="none" w:sz="0" w:space="0" w:color="auto"/>
                            <w:right w:val="none" w:sz="0" w:space="0" w:color="auto"/>
                          </w:divBdr>
                          <w:divsChild>
                            <w:div w:id="1643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6506">
      <w:bodyDiv w:val="1"/>
      <w:marLeft w:val="0"/>
      <w:marRight w:val="0"/>
      <w:marTop w:val="0"/>
      <w:marBottom w:val="0"/>
      <w:divBdr>
        <w:top w:val="none" w:sz="0" w:space="0" w:color="auto"/>
        <w:left w:val="none" w:sz="0" w:space="0" w:color="auto"/>
        <w:bottom w:val="none" w:sz="0" w:space="0" w:color="auto"/>
        <w:right w:val="none" w:sz="0" w:space="0" w:color="auto"/>
      </w:divBdr>
      <w:divsChild>
        <w:div w:id="2015649014">
          <w:marLeft w:val="0"/>
          <w:marRight w:val="0"/>
          <w:marTop w:val="0"/>
          <w:marBottom w:val="0"/>
          <w:divBdr>
            <w:top w:val="none" w:sz="0" w:space="0" w:color="auto"/>
            <w:left w:val="none" w:sz="0" w:space="0" w:color="auto"/>
            <w:bottom w:val="none" w:sz="0" w:space="0" w:color="auto"/>
            <w:right w:val="none" w:sz="0" w:space="0" w:color="auto"/>
          </w:divBdr>
          <w:divsChild>
            <w:div w:id="1727411810">
              <w:marLeft w:val="0"/>
              <w:marRight w:val="0"/>
              <w:marTop w:val="0"/>
              <w:marBottom w:val="0"/>
              <w:divBdr>
                <w:top w:val="none" w:sz="0" w:space="0" w:color="auto"/>
                <w:left w:val="none" w:sz="0" w:space="0" w:color="auto"/>
                <w:bottom w:val="none" w:sz="0" w:space="0" w:color="auto"/>
                <w:right w:val="none" w:sz="0" w:space="0" w:color="auto"/>
              </w:divBdr>
              <w:divsChild>
                <w:div w:id="143206212">
                  <w:marLeft w:val="0"/>
                  <w:marRight w:val="0"/>
                  <w:marTop w:val="0"/>
                  <w:marBottom w:val="0"/>
                  <w:divBdr>
                    <w:top w:val="none" w:sz="0" w:space="0" w:color="auto"/>
                    <w:left w:val="none" w:sz="0" w:space="0" w:color="auto"/>
                    <w:bottom w:val="none" w:sz="0" w:space="0" w:color="auto"/>
                    <w:right w:val="none" w:sz="0" w:space="0" w:color="auto"/>
                  </w:divBdr>
                  <w:divsChild>
                    <w:div w:id="1009020655">
                      <w:marLeft w:val="0"/>
                      <w:marRight w:val="0"/>
                      <w:marTop w:val="0"/>
                      <w:marBottom w:val="0"/>
                      <w:divBdr>
                        <w:top w:val="none" w:sz="0" w:space="0" w:color="auto"/>
                        <w:left w:val="none" w:sz="0" w:space="0" w:color="auto"/>
                        <w:bottom w:val="none" w:sz="0" w:space="0" w:color="auto"/>
                        <w:right w:val="none" w:sz="0" w:space="0" w:color="auto"/>
                      </w:divBdr>
                    </w:div>
                    <w:div w:id="19958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Kota_Surabaya" TargetMode="External"/><Relationship Id="rId18" Type="http://schemas.openxmlformats.org/officeDocument/2006/relationships/hyperlink" Target="https://id.wikipedia.org/wiki/Kabupaten_Pasuruan" TargetMode="External"/><Relationship Id="rId26" Type="http://schemas.openxmlformats.org/officeDocument/2006/relationships/hyperlink" Target="https://doi.org/10.18502/kss.v8i11.13550" TargetMode="External"/><Relationship Id="rId3" Type="http://schemas.openxmlformats.org/officeDocument/2006/relationships/numbering" Target="numbering.xml"/><Relationship Id="rId21" Type="http://schemas.openxmlformats.org/officeDocument/2006/relationships/hyperlink" Target="https://id.wikipedia.org/wiki/Taman_Hutan_Raya_Raden_Soerjo"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d.wikipedia.org/wiki/Jawa_Timur" TargetMode="External"/><Relationship Id="rId17" Type="http://schemas.openxmlformats.org/officeDocument/2006/relationships/hyperlink" Target="https://id.wikipedia.org/wiki/Kabupaten_Mojokerto" TargetMode="External"/><Relationship Id="rId25" Type="http://schemas.openxmlformats.org/officeDocument/2006/relationships/hyperlink" Target="https://doi.org/10.55047/jhssb.v2i1.370"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d.wikipedia.org/wiki/Kabupaten_Jombang" TargetMode="External"/><Relationship Id="rId20" Type="http://schemas.openxmlformats.org/officeDocument/2006/relationships/hyperlink" Target="https://id.wikipedia.org/wiki/Pegununga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id.wikipedia.org/wiki/Pasar_terapung"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id.wikipedia.org/wiki/Kota_Kediri" TargetMode="External"/><Relationship Id="rId23" Type="http://schemas.openxmlformats.org/officeDocument/2006/relationships/hyperlink" Target="https://id.wikipedia.org/wiki/Yogyakarta" TargetMode="External"/><Relationship Id="rId28" Type="http://schemas.openxmlformats.org/officeDocument/2006/relationships/hyperlink" Target="https://doi.org/10.23887/jjpe.v10i1.20149" TargetMode="External"/><Relationship Id="rId36" Type="http://schemas.openxmlformats.org/officeDocument/2006/relationships/theme" Target="theme/theme1.xml"/><Relationship Id="rId10" Type="http://schemas.openxmlformats.org/officeDocument/2006/relationships/hyperlink" Target="http://sosains.greenvest.co.id/index.php/sosains" TargetMode="External"/><Relationship Id="rId19" Type="http://schemas.openxmlformats.org/officeDocument/2006/relationships/hyperlink" Target="https://id.wikipedia.org/wiki/Kabupaten_Malang"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id.wikipedia.org/wiki/Kota_Malang" TargetMode="External"/><Relationship Id="rId22" Type="http://schemas.openxmlformats.org/officeDocument/2006/relationships/hyperlink" Target="https://id.wikipedia.org/wiki/Bali" TargetMode="External"/><Relationship Id="rId27" Type="http://schemas.openxmlformats.org/officeDocument/2006/relationships/hyperlink" Target="http://www.arcjournals.org"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B4620AF-5707-4AAC-9627-6933BC44EC83}"/>
      </w:docPartPr>
      <w:docPartBody>
        <w:p w:rsidR="00967962" w:rsidRDefault="008A446C">
          <w:r w:rsidRPr="005B08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46C"/>
    <w:rsid w:val="0003167F"/>
    <w:rsid w:val="004C560D"/>
    <w:rsid w:val="008A446C"/>
    <w:rsid w:val="00967962"/>
    <w:rsid w:val="00B84F59"/>
    <w:rsid w:val="00C05B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46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6D2D5B-B904-4AC3-AB3C-0318BDE094F5}">
  <we:reference id="wa104382081" version="1.55.1.0" store="en-US" storeType="OMEX"/>
  <we:alternateReferences>
    <we:reference id="wa104382081" version="1.55.1.0" store="wa104382081" storeType="OMEX"/>
  </we:alternateReferences>
  <we:properties>
    <we:property name="MENDELEY_CITATIONS" value="[{&quot;citationID&quot;:&quot;MENDELEY_CITATION_5a55f7aa-8867-479d-ac31-7d0c1b93725e&quot;,&quot;properties&quot;:{&quot;noteIndex&quot;:0},&quot;isEdited&quot;:false,&quot;manualOverride&quot;:{&quot;isManuallyOverridden&quot;:false,&quot;citeprocText&quot;:&quot;(Intyas et al., 2022; Lestari, 2022; Mukhlisah, 2023; Puji et al., 2022; Soraya et al., 2022)&quot;,&quot;manualOverrideText&quot;:&quot;&quot;},&quot;citationTag&quot;:&quot;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&quot;,&quot;citationItems&quot;:[{&quot;id&quot;:&quot;ea8c7e84-1d72-3b72-9142-a90b2787c77d&quot;,&quot;itemData&quot;:{&quot;type&quot;:&quot;book&quot;,&quot;id&quot;:&quot;ea8c7e84-1d72-3b72-9142-a90b2787c77d&quot;,&quot;title&quot;:&quot;Dinamika Agrobisnis Era VUCA: Volatility, Uncertainty, Complexity, Ambiguity&quot;,&quot;author&quot;:[{&quot;family&quot;:&quot;Intyas&quot;,&quot;given&quot;:&quot;Candra Adi&quot;,&quot;parse-names&quot;:false,&quot;dropping-particle&quot;:&quot;&quot;,&quot;non-dropping-particle&quot;:&quot;&quot;},{&quot;family&quot;:&quot;Putritamara&quot;,&quot;given&quot;:&quot;Jaisy Aghniarahim&quot;,&quot;parse-names&quot;:false,&quot;dropping-particle&quot;:&quot;&quot;,&quot;non-dropping-particle&quot;:&quot;&quot;},{&quot;family&quot;:&quot;Haryati&quot;,&quot;given&quot;:&quot;Novi&quot;,&quot;parse-names&quot;:false,&quot;dropping-particle&quot;:&quot;&quot;,&quot;non-dropping-particle&quot;:&quot;&quot;}],&quot;ISBN&quot;:&quot;6232964780&quot;,&quot;issued&quot;:{&quot;date-parts&quot;:[[2022]]},&quot;publisher&quot;:&quot;Universitas Brawijaya Press&quot;,&quot;container-title-short&quot;:&quot;&quot;},&quot;isTemporary&quot;:false},{&quot;id&quot;:&quot;970f8935-878b-3e6a-bd5a-7a85880ca1dd&quot;,&quot;itemData&quot;:{&quot;type&quot;:&quot;article-journal&quot;,&quot;id&quot;:&quot;970f8935-878b-3e6a-bd5a-7a85880ca1dd&quot;,&quot;title&quot;:&quot;Examine the Competencies for Upskilling in VUCA Era (Volatility, Uncertainty, Complexity and Ambiguity) in Indonesia&quot;,&quot;author&quot;:[{&quot;family&quot;:&quot;Mukhlisah&quot;,&quot;given&quot;:&quot;Fauziah&quot;,&quot;parse-names&quot;:false,&quot;dropping-particle&quot;:&quot;&quot;,&quot;non-dropping-particle&quot;:&quot;&quot;}],&quot;container-title&quot;:&quot;KnE Social Sciences&quot;,&quot;DOI&quot;:&quot;10.18502/kss.v8i11.13550&quot;,&quot;issued&quot;:{&quot;date-parts&quot;:[[2023]]},&quot;abstract&quot;:&quot;A fundamental transformation in competency development is needed to create a smart civil servant and smart governance in the context of VUCA (volatility, uncertainty, complexity, and ambiguity). The first step in the transformation is to define the competencies that are needed to address the challenges that occur. The findings of this study suggest new competencies to target for upskilling—the process of continuous learning for new skills—through formal training, self-learning, internships, and benchmarking. A focus group discussion with three ministries (the Ministry of Communication and Informatics, the National Research and Innovation Agency, the Ministry of Education, Culture, Research, and Technology) and a survey with a total of 416 Civil Servant from ministries, non-ministries, and provinces/districts, revealed that there is a change in the work environment nowadays, which makes the existing competencies need to be improved through upskilling. Based on the data finding there are two policy recommendations: 1. First, improvements are needed in the substance of upskilling/competency development so that it is more relevant to today’s changing environment. Collaboration was found to be the most important competency, and this finding supports the need to achieve the target of smart governance. Digital IT competency is needed in terms of smart governance through the collaboration. 2. Second, change in competency development methods from analog to digital, from pedagogy to heutagogy, and from training to learning.\r Keywords: VUCA (volatility, uncertainty, complexity and ambiguity), gap competencies, upskilling, competency development, Indonesia&quot;,&quot;container-title-short&quot;:&quot;&quot;},&quot;isTemporary&quot;:false},{&quot;id&quot;:&quot;aa9ec7cd-d16f-3342-be50-64f4c958afc8&quot;,&quot;itemData&quot;:{&quot;type&quot;:&quot;article-journal&quot;,&quot;id&quot;:&quot;aa9ec7cd-d16f-3342-be50-64f4c958afc8&quot;,&quot;title&quot;:&quot;DIGITAL MARKETING STRATEGY FOR MSMEs IN THE VUCA ERA (Volatility, Uncertainty, Complexity, and Ambiguity)&quot;,&quot;author&quot;:[{&quot;family&quot;:&quot;Lestari&quot;,&quot;given&quot;:&quot;Sri&quot;,&quot;parse-names&quot;:false,&quot;dropping-particle&quot;:&quot;&quot;,&quot;non-dropping-particle&quot;:&quot;&quot;}],&quot;container-title&quot;:&quot;JOURNAL OF HUMANITIES, SOCIAL SCIENCES AND BUSINESS (JHSSB)&quot;,&quot;DOI&quot;:&quot;10.55047/jhssb.v2i1.370&quot;,&quot;issued&quot;:{&quot;date-parts&quot;:[[2022]]},&quot;abstract&quot;:&quot;Economic growth in Indonesia currently driven by various sectors, one of which is the micro, small and medium enterprise (MSME) sector. However, the biggest problems faced by MSMEs in Indonesia today are capital (51.09%) and marketing (34.72%). In today's VUCA era, business situations are volatile and lead to uncertainty. The emergence of the COVID-19 pandemic is a manifestation of the VUCA situation, so the business world is required to be able to survive in situations that reduce people's social mobility. Therefore, the role of digital marketing is very much needed at this time and is an important part in tackling greater losses for MSMEs. The digital marketing strategies that can be applied by MSME actors include creating a google business account, promoting their product through social media, collaborating with KOL or influencers (endorsement), and email marketing.&quot;,&quot;issue&quot;:&quot;1&quot;,&quot;volume&quot;:&quot;2&quot;,&quot;container-title-short&quot;:&quot;&quot;},&quot;isTemporary&quot;:false},{&quot;id&quot;:&quot;2ad2acea-9023-35b7-b604-e0eac44b32c7&quot;,&quot;itemData&quot;:{&quot;type&quot;:&quot;article-journal&quot;,&quot;id&quot;:&quot;2ad2acea-9023-35b7-b604-e0eac44b32c7&quot;,&quot;title&quot;:&quot;Change Management Model in The Era of Volatility, Uncertainty, Complexity and Ambiguity (VUCA) Using Scenario Planning Analysis&quot;,&quot;author&quot;:[{&quot;family&quot;:&quot;Puji&quot;,&quot;given&quot;:&quot;Agus&quot;,&quot;parse-names&quot;:false,&quot;dropping-particle&quot;:&quot;&quot;,&quot;non-dropping-particle&quot;:&quot;&quot;},{&quot;family&quot;:&quot;Ck&quot;,&quot;given&quot;:&quot;Widodo&quot;,&quot;parse-names&quot;:false,&quot;dropping-particle&quot;:&quot;&quot;,&quot;non-dropping-particle&quot;:&quot;&quot;},{&quot;family&quot;:&quot;Arkeman&quot;,&quot;given&quot;:&quot;Yandra&quot;,&quot;parse-names&quot;:false,&quot;dropping-particle&quot;:&quot;&quot;,&quot;non-dropping-particle&quot;:&quot;&quot;},{&quot;family&quot;:&quot;Ratnawati&quot;,&quot;given&quot;:&quot;Anny&quot;,&quot;parse-names&quot;:false,&quot;dropping-particle&quot;:&quot;&quot;,&quot;non-dropping-particle&quot;:&quot;&quot;},{&quot;family&quot;:&quot;Fahmi&quot;,&quot;given&quot;:&quot;Idqan&quot;,&quot;parse-names&quot;:false,&quot;dropping-particle&quot;:&quot;&quot;,&quot;non-dropping-particle&quot;:&quot;&quot;}],&quot;container-title&quot;:&quot;The International Journal of Social Sciences World&quot;,&quot;ISSN&quot;:&quot;2690-5167&quot;,&quot;issued&quot;:{&quot;date-parts&quot;:[[2022]]},&quot;abstract&quot;:&quot;This research was conducted to formulate a change management model design in government agencies in the Volatility, Uncertainty, Complexity and Ambiguity (VUCA) Era, Develop strategies in XYZ government agencies in the Volatility, Uncertainty, Complexity and Ambiguity Era (VUCA). XYZ government in the Era of Volatility, Uncertainty, Complexity and Ambiguity (VUCA) based on the results of this study is to recommend the formulation of a grand design XYZ towards World Class Organization, Strategy in XYZ government agencies in the Era of Volatility, Uncertainty, Complexity and Ambiguity (VUCA) based on the results of this study is to recommend compiling a long-term strategic road map.&quot;,&quot;issue&quot;:&quot;2&quot;,&quot;volume&quot;:&quot;4&quot;,&quot;container-title-short&quot;:&quot;&quot;},&quot;isTemporary&quot;:false},{&quot;id&quot;:&quot;66d2e139-6fae-33b6-8df4-b7804ae6f469&quot;,&quot;itemData&quot;:{&quot;type&quot;:&quot;article-journal&quot;,&quot;id&quot;:&quot;66d2e139-6fae-33b6-8df4-b7804ae6f469&quot;,&quot;title&quot;:&quot;Nasionalisme Bangsa Di Era Vuca (Volatility, Uncertainty, Complexity Dan Ambiguity)&quot;,&quot;author&quot;:[{&quot;family&quot;:&quot;Soraya&quot;,&quot;given&quot;:&quot;Nadia Aurora&quot;,&quot;parse-names&quot;:false,&quot;dropping-particle&quot;:&quot;&quot;,&quot;non-dropping-particle&quot;:&quot;&quot;},{&quot;family&quot;:&quot;Tias&quot;,&quot;given&quot;:&quot;Salsa Ayuning&quot;,&quot;parse-names&quot;:false,&quot;dropping-particle&quot;:&quot;&quot;,&quot;non-dropping-particle&quot;:&quot;&quot;},{&quot;family&quot;:&quot;Ayu&quot;,&quot;given&quot;:&quot;Kristina&quot;,&quot;parse-names&quot;:false,&quot;dropping-particle&quot;:&quot;&quot;,&quot;non-dropping-particle&quot;:&quot;&quot;}],&quot;container-title&quot;:&quot;Jurnal Kewarganegaraan&quot;,&quot;ISSN&quot;:&quot;2723-2328&quot;,&quot;issued&quot;:{&quot;date-parts&quot;:[[2022]]},&quot;abstract&quot;:&quot;Di era VUCA (Volatility, Uncertainty, Complexity dan Ambiguity) banyak perubahan terjadi diiringi dengan ketidak pastian, tingkat kompleksitas yang tidak menentu, serta ambiguitas yang tidak mudah dijabarkan. Berangkat elemen di era VUCA ini, perkembangan teknologi pun turut menjadi pengaruh utama akan perubahan-perubahan tersebut. Hal ini menjadi tantangan serta ancaman baru dalam perkembangan zaman yang dihadapi sekarang. Bukan lagi ancaman nyata dengan senjata, namun potensi serangan terhadap ideologi dan paham yang dianutlah yang menjadi tantangan. Masyarakat sebagai penggerak utama akan nasionalisme sudah pasti turut terimbas akan perubahan ini. Menyikapi hal tersebut, pembinaan serta pemberdayaan teknologi sebagai media pembekalan, penanaman dan pendidikan nilai-nilai kebangsaan perlu dilakukan sebagai bentuk respon akan tantangan ini. Abstract In the VUCA (Volatility, Uncertainty, Complexity, and Ambiguity) era, many changes occur accompanied by uncertainty, an uncertain level of complexity, and ambiguity that is not easily explained. Departing from elements in the VUCA era, technological developments have also become the main influence of these changes. This has become a challenge and a new threat in the development of the times that are faced now. It is no longer a real threat with weapons, but the potential for attacks on the ideology and understanding that is being embraced is the challenge. Society as the main driver of nationalism will certainly be affected by this change. In response to this, the development and empowerment of technology as a medium for debriefing, inculcating as well as educating national values need to be carried out as a form of response to this challenge.&quot;,&quot;issue&quot;:&quot;1&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6ahnHaFN2A2FhlzD147ZVqJg==">CgMxLjA4AHIhMTl3a0dEVkxpanJuZW85aVBMNE5ELUNfandUZ1lod041</go:docsCustomData>
</go:gDocsCustomXmlDataStorage>
</file>

<file path=customXml/itemProps1.xml><?xml version="1.0" encoding="utf-8"?>
<ds:datastoreItem xmlns:ds="http://schemas.openxmlformats.org/officeDocument/2006/customXml" ds:itemID="{72834046-699E-46ED-8BF7-2541D641AB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4882</Words>
  <Characters>27845</Characters>
  <Application>Microsoft Office Word</Application>
  <DocSecurity>0</DocSecurity>
  <Lines>741</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32418</CharactersWithSpaces>
  <SharedDoc>false</SharedDoc>
  <HLinks>
    <vt:vector size="192" baseType="variant">
      <vt:variant>
        <vt:i4>4587525</vt:i4>
      </vt:variant>
      <vt:variant>
        <vt:i4>90</vt:i4>
      </vt:variant>
      <vt:variant>
        <vt:i4>0</vt:i4>
      </vt:variant>
      <vt:variant>
        <vt:i4>5</vt:i4>
      </vt:variant>
      <vt:variant>
        <vt:lpwstr>https://doi.org/10.23887/jjpe.v10i1.20149</vt:lpwstr>
      </vt:variant>
      <vt:variant>
        <vt:lpwstr/>
      </vt:variant>
      <vt:variant>
        <vt:i4>5373974</vt:i4>
      </vt:variant>
      <vt:variant>
        <vt:i4>87</vt:i4>
      </vt:variant>
      <vt:variant>
        <vt:i4>0</vt:i4>
      </vt:variant>
      <vt:variant>
        <vt:i4>5</vt:i4>
      </vt:variant>
      <vt:variant>
        <vt:lpwstr>https://www.taylorfrancis.com/search?contributorName=Tulus%20Tahi%20Hamonangan%20Tambunan&amp;contributorRole=author&amp;redirectFromPDP=true&amp;context=ubx</vt:lpwstr>
      </vt:variant>
      <vt:variant>
        <vt:lpwstr/>
      </vt:variant>
      <vt:variant>
        <vt:i4>4849746</vt:i4>
      </vt:variant>
      <vt:variant>
        <vt:i4>84</vt:i4>
      </vt:variant>
      <vt:variant>
        <vt:i4>0</vt:i4>
      </vt:variant>
      <vt:variant>
        <vt:i4>5</vt:i4>
      </vt:variant>
      <vt:variant>
        <vt:lpwstr>https://www.sciencedirect.com/journal/journal-of-environmental-psychology</vt:lpwstr>
      </vt:variant>
      <vt:variant>
        <vt:lpwstr/>
      </vt:variant>
      <vt:variant>
        <vt:i4>5111892</vt:i4>
      </vt:variant>
      <vt:variant>
        <vt:i4>81</vt:i4>
      </vt:variant>
      <vt:variant>
        <vt:i4>0</vt:i4>
      </vt:variant>
      <vt:variant>
        <vt:i4>5</vt:i4>
      </vt:variant>
      <vt:variant>
        <vt:lpwstr>https://dinastirev.org/JIMT Page 589</vt:lpwstr>
      </vt:variant>
      <vt:variant>
        <vt:lpwstr/>
      </vt:variant>
      <vt:variant>
        <vt:i4>4980824</vt:i4>
      </vt:variant>
      <vt:variant>
        <vt:i4>78</vt:i4>
      </vt:variant>
      <vt:variant>
        <vt:i4>0</vt:i4>
      </vt:variant>
      <vt:variant>
        <vt:i4>5</vt:i4>
      </vt:variant>
      <vt:variant>
        <vt:lpwstr>https://doi.org/10.1093/neuonc/now081.50</vt:lpwstr>
      </vt:variant>
      <vt:variant>
        <vt:lpwstr/>
      </vt:variant>
      <vt:variant>
        <vt:i4>3014755</vt:i4>
      </vt:variant>
      <vt:variant>
        <vt:i4>75</vt:i4>
      </vt:variant>
      <vt:variant>
        <vt:i4>0</vt:i4>
      </vt:variant>
      <vt:variant>
        <vt:i4>5</vt:i4>
      </vt:variant>
      <vt:variant>
        <vt:lpwstr>http://www.arcjournals.org/</vt:lpwstr>
      </vt:variant>
      <vt:variant>
        <vt:lpwstr/>
      </vt:variant>
      <vt:variant>
        <vt:i4>7208977</vt:i4>
      </vt:variant>
      <vt:variant>
        <vt:i4>72</vt:i4>
      </vt:variant>
      <vt:variant>
        <vt:i4>0</vt:i4>
      </vt:variant>
      <vt:variant>
        <vt:i4>5</vt:i4>
      </vt:variant>
      <vt:variant>
        <vt:lpwstr>https://id.wikipedia.org/wiki/Pasar_terapung</vt:lpwstr>
      </vt:variant>
      <vt:variant>
        <vt:lpwstr/>
      </vt:variant>
      <vt:variant>
        <vt:i4>3932269</vt:i4>
      </vt:variant>
      <vt:variant>
        <vt:i4>69</vt:i4>
      </vt:variant>
      <vt:variant>
        <vt:i4>0</vt:i4>
      </vt:variant>
      <vt:variant>
        <vt:i4>5</vt:i4>
      </vt:variant>
      <vt:variant>
        <vt:lpwstr>https://id.wikipedia.org/wiki/Lippo_Plaza_Batu</vt:lpwstr>
      </vt:variant>
      <vt:variant>
        <vt:lpwstr/>
      </vt:variant>
      <vt:variant>
        <vt:i4>4784146</vt:i4>
      </vt:variant>
      <vt:variant>
        <vt:i4>66</vt:i4>
      </vt:variant>
      <vt:variant>
        <vt:i4>0</vt:i4>
      </vt:variant>
      <vt:variant>
        <vt:i4>5</vt:i4>
      </vt:variant>
      <vt:variant>
        <vt:lpwstr>https://id.wikipedia.org/wiki/Yogyakarta</vt:lpwstr>
      </vt:variant>
      <vt:variant>
        <vt:lpwstr/>
      </vt:variant>
      <vt:variant>
        <vt:i4>3080310</vt:i4>
      </vt:variant>
      <vt:variant>
        <vt:i4>63</vt:i4>
      </vt:variant>
      <vt:variant>
        <vt:i4>0</vt:i4>
      </vt:variant>
      <vt:variant>
        <vt:i4>5</vt:i4>
      </vt:variant>
      <vt:variant>
        <vt:lpwstr>https://id.wikipedia.org/wiki/Bali</vt:lpwstr>
      </vt:variant>
      <vt:variant>
        <vt:lpwstr/>
      </vt:variant>
      <vt:variant>
        <vt:i4>3604591</vt:i4>
      </vt:variant>
      <vt:variant>
        <vt:i4>60</vt:i4>
      </vt:variant>
      <vt:variant>
        <vt:i4>0</vt:i4>
      </vt:variant>
      <vt:variant>
        <vt:i4>5</vt:i4>
      </vt:variant>
      <vt:variant>
        <vt:lpwstr>https://id.wikipedia.org/wiki/Taman_Hutan_Raya_Raden_Soerjo</vt:lpwstr>
      </vt:variant>
      <vt:variant>
        <vt:lpwstr/>
      </vt:variant>
      <vt:variant>
        <vt:i4>3670102</vt:i4>
      </vt:variant>
      <vt:variant>
        <vt:i4>57</vt:i4>
      </vt:variant>
      <vt:variant>
        <vt:i4>0</vt:i4>
      </vt:variant>
      <vt:variant>
        <vt:i4>5</vt:i4>
      </vt:variant>
      <vt:variant>
        <vt:lpwstr>https://id.wikipedia.org/wiki/Gunung_Panderman</vt:lpwstr>
      </vt:variant>
      <vt:variant>
        <vt:lpwstr/>
      </vt:variant>
      <vt:variant>
        <vt:i4>6029345</vt:i4>
      </vt:variant>
      <vt:variant>
        <vt:i4>54</vt:i4>
      </vt:variant>
      <vt:variant>
        <vt:i4>0</vt:i4>
      </vt:variant>
      <vt:variant>
        <vt:i4>5</vt:i4>
      </vt:variant>
      <vt:variant>
        <vt:lpwstr>https://id.wikipedia.org/wiki/Gunung_Kawi</vt:lpwstr>
      </vt:variant>
      <vt:variant>
        <vt:lpwstr/>
      </vt:variant>
      <vt:variant>
        <vt:i4>3997780</vt:i4>
      </vt:variant>
      <vt:variant>
        <vt:i4>51</vt:i4>
      </vt:variant>
      <vt:variant>
        <vt:i4>0</vt:i4>
      </vt:variant>
      <vt:variant>
        <vt:i4>5</vt:i4>
      </vt:variant>
      <vt:variant>
        <vt:lpwstr>https://id.wikipedia.org/wiki/Gunung_Butak</vt:lpwstr>
      </vt:variant>
      <vt:variant>
        <vt:lpwstr/>
      </vt:variant>
      <vt:variant>
        <vt:i4>4653101</vt:i4>
      </vt:variant>
      <vt:variant>
        <vt:i4>48</vt:i4>
      </vt:variant>
      <vt:variant>
        <vt:i4>0</vt:i4>
      </vt:variant>
      <vt:variant>
        <vt:i4>5</vt:i4>
      </vt:variant>
      <vt:variant>
        <vt:lpwstr>https://id.wikipedia.org/wiki/Gunung_Welirang</vt:lpwstr>
      </vt:variant>
      <vt:variant>
        <vt:lpwstr/>
      </vt:variant>
      <vt:variant>
        <vt:i4>2424903</vt:i4>
      </vt:variant>
      <vt:variant>
        <vt:i4>45</vt:i4>
      </vt:variant>
      <vt:variant>
        <vt:i4>0</vt:i4>
      </vt:variant>
      <vt:variant>
        <vt:i4>5</vt:i4>
      </vt:variant>
      <vt:variant>
        <vt:lpwstr>https://id.wikipedia.org/wiki/Gunung_Arjuno</vt:lpwstr>
      </vt:variant>
      <vt:variant>
        <vt:lpwstr/>
      </vt:variant>
      <vt:variant>
        <vt:i4>4915214</vt:i4>
      </vt:variant>
      <vt:variant>
        <vt:i4>42</vt:i4>
      </vt:variant>
      <vt:variant>
        <vt:i4>0</vt:i4>
      </vt:variant>
      <vt:variant>
        <vt:i4>5</vt:i4>
      </vt:variant>
      <vt:variant>
        <vt:lpwstr>https://id.wikipedia.org/wiki/Pegunungan</vt:lpwstr>
      </vt:variant>
      <vt:variant>
        <vt:lpwstr/>
      </vt:variant>
      <vt:variant>
        <vt:i4>4456478</vt:i4>
      </vt:variant>
      <vt:variant>
        <vt:i4>39</vt:i4>
      </vt:variant>
      <vt:variant>
        <vt:i4>0</vt:i4>
      </vt:variant>
      <vt:variant>
        <vt:i4>5</vt:i4>
      </vt:variant>
      <vt:variant>
        <vt:lpwstr>https://id.wikipedia.org/wiki/Celsius</vt:lpwstr>
      </vt:variant>
      <vt:variant>
        <vt:lpwstr/>
      </vt:variant>
      <vt:variant>
        <vt:i4>4456478</vt:i4>
      </vt:variant>
      <vt:variant>
        <vt:i4>36</vt:i4>
      </vt:variant>
      <vt:variant>
        <vt:i4>0</vt:i4>
      </vt:variant>
      <vt:variant>
        <vt:i4>5</vt:i4>
      </vt:variant>
      <vt:variant>
        <vt:lpwstr>https://id.wikipedia.org/wiki/Celsius</vt:lpwstr>
      </vt:variant>
      <vt:variant>
        <vt:lpwstr/>
      </vt:variant>
      <vt:variant>
        <vt:i4>983156</vt:i4>
      </vt:variant>
      <vt:variant>
        <vt:i4>33</vt:i4>
      </vt:variant>
      <vt:variant>
        <vt:i4>0</vt:i4>
      </vt:variant>
      <vt:variant>
        <vt:i4>5</vt:i4>
      </vt:variant>
      <vt:variant>
        <vt:lpwstr>https://id.wikipedia.org/wiki/Kabupaten_Malang</vt:lpwstr>
      </vt:variant>
      <vt:variant>
        <vt:lpwstr/>
      </vt:variant>
      <vt:variant>
        <vt:i4>6750219</vt:i4>
      </vt:variant>
      <vt:variant>
        <vt:i4>30</vt:i4>
      </vt:variant>
      <vt:variant>
        <vt:i4>0</vt:i4>
      </vt:variant>
      <vt:variant>
        <vt:i4>5</vt:i4>
      </vt:variant>
      <vt:variant>
        <vt:lpwstr>https://id.wikipedia.org/wiki/Kabupaten_Pasuruan</vt:lpwstr>
      </vt:variant>
      <vt:variant>
        <vt:lpwstr/>
      </vt:variant>
      <vt:variant>
        <vt:i4>7929861</vt:i4>
      </vt:variant>
      <vt:variant>
        <vt:i4>27</vt:i4>
      </vt:variant>
      <vt:variant>
        <vt:i4>0</vt:i4>
      </vt:variant>
      <vt:variant>
        <vt:i4>5</vt:i4>
      </vt:variant>
      <vt:variant>
        <vt:lpwstr>https://id.wikipedia.org/wiki/Kabupaten_Mojokerto</vt:lpwstr>
      </vt:variant>
      <vt:variant>
        <vt:lpwstr/>
      </vt:variant>
      <vt:variant>
        <vt:i4>721021</vt:i4>
      </vt:variant>
      <vt:variant>
        <vt:i4>24</vt:i4>
      </vt:variant>
      <vt:variant>
        <vt:i4>0</vt:i4>
      </vt:variant>
      <vt:variant>
        <vt:i4>5</vt:i4>
      </vt:variant>
      <vt:variant>
        <vt:lpwstr>https://id.wikipedia.org/wiki/Kabupaten_Jombang</vt:lpwstr>
      </vt:variant>
      <vt:variant>
        <vt:lpwstr/>
      </vt:variant>
      <vt:variant>
        <vt:i4>5505076</vt:i4>
      </vt:variant>
      <vt:variant>
        <vt:i4>21</vt:i4>
      </vt:variant>
      <vt:variant>
        <vt:i4>0</vt:i4>
      </vt:variant>
      <vt:variant>
        <vt:i4>5</vt:i4>
      </vt:variant>
      <vt:variant>
        <vt:lpwstr>https://id.wikipedia.org/wiki/Kota_Kediri</vt:lpwstr>
      </vt:variant>
      <vt:variant>
        <vt:lpwstr/>
      </vt:variant>
      <vt:variant>
        <vt:i4>4587576</vt:i4>
      </vt:variant>
      <vt:variant>
        <vt:i4>18</vt:i4>
      </vt:variant>
      <vt:variant>
        <vt:i4>0</vt:i4>
      </vt:variant>
      <vt:variant>
        <vt:i4>5</vt:i4>
      </vt:variant>
      <vt:variant>
        <vt:lpwstr>https://id.wikipedia.org/wiki/Kota_Malang</vt:lpwstr>
      </vt:variant>
      <vt:variant>
        <vt:lpwstr/>
      </vt:variant>
      <vt:variant>
        <vt:i4>4587576</vt:i4>
      </vt:variant>
      <vt:variant>
        <vt:i4>15</vt:i4>
      </vt:variant>
      <vt:variant>
        <vt:i4>0</vt:i4>
      </vt:variant>
      <vt:variant>
        <vt:i4>5</vt:i4>
      </vt:variant>
      <vt:variant>
        <vt:lpwstr>https://id.wikipedia.org/wiki/Kota_Malang</vt:lpwstr>
      </vt:variant>
      <vt:variant>
        <vt:lpwstr/>
      </vt:variant>
      <vt:variant>
        <vt:i4>3342413</vt:i4>
      </vt:variant>
      <vt:variant>
        <vt:i4>12</vt:i4>
      </vt:variant>
      <vt:variant>
        <vt:i4>0</vt:i4>
      </vt:variant>
      <vt:variant>
        <vt:i4>5</vt:i4>
      </vt:variant>
      <vt:variant>
        <vt:lpwstr>https://id.wikipedia.org/wiki/Kota_Surabaya</vt:lpwstr>
      </vt:variant>
      <vt:variant>
        <vt:lpwstr/>
      </vt:variant>
      <vt:variant>
        <vt:i4>4980774</vt:i4>
      </vt:variant>
      <vt:variant>
        <vt:i4>9</vt:i4>
      </vt:variant>
      <vt:variant>
        <vt:i4>0</vt:i4>
      </vt:variant>
      <vt:variant>
        <vt:i4>5</vt:i4>
      </vt:variant>
      <vt:variant>
        <vt:lpwstr>https://id.wikipedia.org/wiki/Jawa_Timur</vt:lpwstr>
      </vt:variant>
      <vt:variant>
        <vt:lpwstr/>
      </vt:variant>
      <vt:variant>
        <vt:i4>2687079</vt:i4>
      </vt:variant>
      <vt:variant>
        <vt:i4>6</vt:i4>
      </vt:variant>
      <vt:variant>
        <vt:i4>0</vt:i4>
      </vt:variant>
      <vt:variant>
        <vt:i4>5</vt:i4>
      </vt:variant>
      <vt:variant>
        <vt:lpwstr>https://id.wikipedia.org/wiki/Kota</vt:lpwstr>
      </vt:variant>
      <vt:variant>
        <vt:lpwstr/>
      </vt:variant>
      <vt:variant>
        <vt:i4>5177382</vt:i4>
      </vt:variant>
      <vt:variant>
        <vt:i4>3</vt:i4>
      </vt:variant>
      <vt:variant>
        <vt:i4>0</vt:i4>
      </vt:variant>
      <vt:variant>
        <vt:i4>5</vt:i4>
      </vt:variant>
      <vt:variant>
        <vt:lpwstr>https://eprints.ums.ac.id/19966/13/NASKAH_PUBLIKASI.pdf</vt:lpwstr>
      </vt:variant>
      <vt:variant>
        <vt:lpwstr/>
      </vt:variant>
      <vt:variant>
        <vt:i4>655440</vt:i4>
      </vt:variant>
      <vt:variant>
        <vt:i4>0</vt:i4>
      </vt:variant>
      <vt:variant>
        <vt:i4>0</vt:i4>
      </vt:variant>
      <vt:variant>
        <vt:i4>5</vt:i4>
      </vt:variant>
      <vt:variant>
        <vt:lpwstr>http://sosains.greenvest.co.id/index.php/sosains</vt:lpwstr>
      </vt:variant>
      <vt:variant>
        <vt:lpwstr/>
      </vt:variant>
      <vt:variant>
        <vt:i4>2162793</vt:i4>
      </vt:variant>
      <vt:variant>
        <vt:i4>6</vt:i4>
      </vt:variant>
      <vt:variant>
        <vt:i4>0</vt:i4>
      </vt:variant>
      <vt:variant>
        <vt:i4>5</vt:i4>
      </vt:variant>
      <vt:variant>
        <vt:lpwstr>https://greenpublisher.id/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Aurelia Rls</dc:creator>
  <cp:lastModifiedBy>hp</cp:lastModifiedBy>
  <cp:revision>7</cp:revision>
  <dcterms:created xsi:type="dcterms:W3CDTF">2025-07-08T11:32:00Z</dcterms:created>
  <dcterms:modified xsi:type="dcterms:W3CDTF">2025-07-09T02:59:00Z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e189cde8-055c-3dce-883a-803415855f39</vt:lpwstr>
  </property>
  <property fmtid="{D5CDD505-2E9C-101B-9397-08002B2CF9AE}" pid="24" name="Mendeley Citation Style_1">
    <vt:lpwstr>https://csl.mendeley.com/styles/475823531/apa</vt:lpwstr>
  </property>
  <property fmtid="{D5CDD505-2E9C-101B-9397-08002B2CF9AE}" pid="25" name="GrammarlyDocumentId">
    <vt:lpwstr>f1954572-4cb1-44b5-a423-8d9df5d84959</vt:lpwstr>
  </property>
</Properties>
</file>